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C41A8" w:rsidRPr="000B6488" w:rsidRDefault="009C41A8" w:rsidP="000B6488">
      <w:pPr>
        <w:spacing w:after="0" w:line="480" w:lineRule="auto"/>
        <w:rPr>
          <w:rFonts w:ascii="Times New Roman" w:hAnsi="Times New Roman" w:cs="Times New Roman"/>
          <w:sz w:val="24"/>
          <w:szCs w:val="24"/>
        </w:rPr>
      </w:pPr>
    </w:p>
    <w:p w:rsidR="003313C8" w:rsidRPr="000B6488" w:rsidRDefault="003313C8" w:rsidP="000B6488">
      <w:pPr>
        <w:spacing w:after="0" w:line="480" w:lineRule="auto"/>
        <w:rPr>
          <w:rFonts w:ascii="Times New Roman" w:hAnsi="Times New Roman" w:cs="Times New Roman"/>
          <w:sz w:val="24"/>
          <w:szCs w:val="24"/>
        </w:rPr>
      </w:pPr>
    </w:p>
    <w:p w:rsidR="003313C8" w:rsidRPr="000B6488" w:rsidRDefault="003313C8" w:rsidP="000B6488">
      <w:pPr>
        <w:spacing w:after="0" w:line="480" w:lineRule="auto"/>
        <w:rPr>
          <w:rFonts w:ascii="Times New Roman" w:hAnsi="Times New Roman" w:cs="Times New Roman"/>
          <w:sz w:val="24"/>
          <w:szCs w:val="24"/>
        </w:rPr>
      </w:pPr>
    </w:p>
    <w:p w:rsidR="003313C8" w:rsidRPr="000B6488" w:rsidRDefault="003313C8" w:rsidP="000B6488">
      <w:pPr>
        <w:spacing w:after="0" w:line="480" w:lineRule="auto"/>
        <w:rPr>
          <w:rFonts w:ascii="Times New Roman" w:hAnsi="Times New Roman" w:cs="Times New Roman"/>
          <w:sz w:val="24"/>
          <w:szCs w:val="24"/>
        </w:rPr>
      </w:pPr>
    </w:p>
    <w:p w:rsidR="003313C8" w:rsidRPr="000B6488" w:rsidRDefault="003313C8" w:rsidP="000B6488">
      <w:pPr>
        <w:spacing w:after="0" w:line="480" w:lineRule="auto"/>
        <w:rPr>
          <w:rFonts w:ascii="Times New Roman" w:hAnsi="Times New Roman" w:cs="Times New Roman"/>
          <w:sz w:val="24"/>
          <w:szCs w:val="24"/>
        </w:rPr>
      </w:pPr>
    </w:p>
    <w:p w:rsidR="003313C8" w:rsidRPr="000B6488" w:rsidRDefault="003313C8" w:rsidP="000B6488">
      <w:pPr>
        <w:spacing w:after="0" w:line="480" w:lineRule="auto"/>
        <w:rPr>
          <w:rFonts w:ascii="Times New Roman" w:hAnsi="Times New Roman" w:cs="Times New Roman"/>
          <w:sz w:val="24"/>
          <w:szCs w:val="24"/>
        </w:rPr>
      </w:pPr>
    </w:p>
    <w:p w:rsidR="003313C8" w:rsidRPr="000B6488" w:rsidRDefault="003313C8" w:rsidP="000B6488">
      <w:pPr>
        <w:spacing w:after="0" w:line="480" w:lineRule="auto"/>
        <w:rPr>
          <w:rFonts w:ascii="Times New Roman" w:hAnsi="Times New Roman" w:cs="Times New Roman"/>
          <w:sz w:val="24"/>
          <w:szCs w:val="24"/>
        </w:rPr>
      </w:pPr>
    </w:p>
    <w:p w:rsidR="003313C8" w:rsidRPr="000B6488" w:rsidRDefault="003313C8" w:rsidP="000B6488">
      <w:pPr>
        <w:spacing w:after="0" w:line="480" w:lineRule="auto"/>
        <w:rPr>
          <w:rFonts w:ascii="Times New Roman" w:hAnsi="Times New Roman" w:cs="Times New Roman"/>
          <w:sz w:val="24"/>
          <w:szCs w:val="24"/>
        </w:rPr>
      </w:pPr>
    </w:p>
    <w:p w:rsidR="003313C8" w:rsidRPr="000B6488" w:rsidRDefault="003313C8" w:rsidP="000B6488">
      <w:pPr>
        <w:spacing w:after="0" w:line="480" w:lineRule="auto"/>
        <w:rPr>
          <w:rFonts w:ascii="Times New Roman" w:hAnsi="Times New Roman" w:cs="Times New Roman"/>
          <w:sz w:val="24"/>
          <w:szCs w:val="24"/>
        </w:rPr>
      </w:pPr>
    </w:p>
    <w:p w:rsidR="003313C8" w:rsidRPr="000B6488" w:rsidRDefault="003313C8" w:rsidP="000B6488">
      <w:pPr>
        <w:spacing w:after="0" w:line="480" w:lineRule="auto"/>
        <w:rPr>
          <w:rFonts w:ascii="Times New Roman" w:hAnsi="Times New Roman" w:cs="Times New Roman"/>
          <w:sz w:val="24"/>
          <w:szCs w:val="24"/>
        </w:rPr>
      </w:pPr>
    </w:p>
    <w:p w:rsidR="003313C8" w:rsidRPr="000B6488" w:rsidRDefault="003313C8" w:rsidP="000B6488">
      <w:pPr>
        <w:spacing w:after="0" w:line="480" w:lineRule="auto"/>
        <w:rPr>
          <w:rFonts w:ascii="Times New Roman" w:hAnsi="Times New Roman" w:cs="Times New Roman"/>
          <w:sz w:val="24"/>
          <w:szCs w:val="24"/>
        </w:rPr>
      </w:pPr>
    </w:p>
    <w:p w:rsidR="003313C8" w:rsidRPr="000B6488" w:rsidRDefault="003313C8" w:rsidP="000B6488">
      <w:pPr>
        <w:spacing w:after="0" w:line="480" w:lineRule="auto"/>
        <w:rPr>
          <w:rFonts w:ascii="Times New Roman" w:hAnsi="Times New Roman" w:cs="Times New Roman"/>
          <w:sz w:val="24"/>
          <w:szCs w:val="24"/>
        </w:rPr>
      </w:pPr>
    </w:p>
    <w:p w:rsidR="003313C8" w:rsidRPr="000B6488" w:rsidRDefault="003313C8" w:rsidP="000B6488">
      <w:pPr>
        <w:spacing w:after="0" w:line="480" w:lineRule="auto"/>
        <w:jc w:val="center"/>
        <w:rPr>
          <w:rFonts w:ascii="Times New Roman" w:hAnsi="Times New Roman" w:cs="Times New Roman"/>
          <w:sz w:val="24"/>
          <w:szCs w:val="24"/>
        </w:rPr>
      </w:pPr>
      <w:r w:rsidRPr="000B6488">
        <w:rPr>
          <w:rFonts w:ascii="Times New Roman" w:hAnsi="Times New Roman" w:cs="Times New Roman"/>
          <w:sz w:val="24"/>
          <w:szCs w:val="24"/>
        </w:rPr>
        <w:t>Obtaining Statements and Confessions for Use as Evidence</w:t>
      </w:r>
    </w:p>
    <w:p w:rsidR="003313C8" w:rsidRPr="000B6488" w:rsidRDefault="003313C8" w:rsidP="000B6488">
      <w:pPr>
        <w:spacing w:after="0" w:line="480" w:lineRule="auto"/>
        <w:jc w:val="center"/>
        <w:rPr>
          <w:rFonts w:ascii="Times New Roman" w:hAnsi="Times New Roman" w:cs="Times New Roman"/>
          <w:sz w:val="24"/>
          <w:szCs w:val="24"/>
        </w:rPr>
      </w:pPr>
      <w:r w:rsidRPr="000B6488">
        <w:rPr>
          <w:rFonts w:ascii="Times New Roman" w:hAnsi="Times New Roman" w:cs="Times New Roman"/>
          <w:sz w:val="24"/>
          <w:szCs w:val="24"/>
        </w:rPr>
        <w:t>Name:</w:t>
      </w:r>
    </w:p>
    <w:p w:rsidR="00BA239F" w:rsidRPr="000B6488" w:rsidRDefault="003313C8" w:rsidP="000B6488">
      <w:pPr>
        <w:spacing w:after="0" w:line="480" w:lineRule="auto"/>
        <w:jc w:val="center"/>
        <w:rPr>
          <w:rFonts w:ascii="Times New Roman" w:hAnsi="Times New Roman" w:cs="Times New Roman"/>
          <w:sz w:val="24"/>
          <w:szCs w:val="24"/>
        </w:rPr>
      </w:pPr>
      <w:r w:rsidRPr="000B6488">
        <w:rPr>
          <w:rFonts w:ascii="Times New Roman" w:hAnsi="Times New Roman" w:cs="Times New Roman"/>
          <w:sz w:val="24"/>
          <w:szCs w:val="24"/>
        </w:rPr>
        <w:t xml:space="preserve">University: </w:t>
      </w:r>
    </w:p>
    <w:p w:rsidR="00BA239F" w:rsidRPr="000B6488" w:rsidRDefault="00BA239F" w:rsidP="000B6488">
      <w:pPr>
        <w:spacing w:line="480" w:lineRule="auto"/>
        <w:rPr>
          <w:rFonts w:ascii="Times New Roman" w:hAnsi="Times New Roman" w:cs="Times New Roman"/>
          <w:sz w:val="24"/>
          <w:szCs w:val="24"/>
        </w:rPr>
      </w:pPr>
      <w:r w:rsidRPr="000B6488">
        <w:rPr>
          <w:rFonts w:ascii="Times New Roman" w:hAnsi="Times New Roman" w:cs="Times New Roman"/>
          <w:sz w:val="24"/>
          <w:szCs w:val="24"/>
        </w:rPr>
        <w:br w:type="page"/>
      </w:r>
    </w:p>
    <w:p w:rsidR="003313C8" w:rsidRDefault="00BA239F" w:rsidP="000B6488">
      <w:pPr>
        <w:spacing w:after="0" w:line="480" w:lineRule="auto"/>
        <w:jc w:val="center"/>
        <w:rPr>
          <w:rFonts w:ascii="Times New Roman" w:hAnsi="Times New Roman" w:cs="Times New Roman"/>
          <w:sz w:val="24"/>
          <w:szCs w:val="24"/>
        </w:rPr>
      </w:pPr>
      <w:r w:rsidRPr="000B6488">
        <w:rPr>
          <w:rFonts w:ascii="Times New Roman" w:hAnsi="Times New Roman" w:cs="Times New Roman"/>
          <w:sz w:val="24"/>
          <w:szCs w:val="24"/>
        </w:rPr>
        <w:lastRenderedPageBreak/>
        <w:t>Obtaining Statements and Confessions for Use as Evidence</w:t>
      </w:r>
    </w:p>
    <w:p w:rsidR="0004296F" w:rsidRDefault="0004296F" w:rsidP="000B6488">
      <w:pPr>
        <w:spacing w:after="0" w:line="480" w:lineRule="auto"/>
        <w:jc w:val="center"/>
        <w:rPr>
          <w:rFonts w:ascii="Times New Roman" w:hAnsi="Times New Roman" w:cs="Times New Roman"/>
          <w:b/>
          <w:sz w:val="24"/>
          <w:szCs w:val="24"/>
        </w:rPr>
      </w:pPr>
      <w:r>
        <w:rPr>
          <w:rFonts w:ascii="Times New Roman" w:hAnsi="Times New Roman" w:cs="Times New Roman"/>
          <w:b/>
          <w:sz w:val="24"/>
          <w:szCs w:val="24"/>
        </w:rPr>
        <w:t>Abstract</w:t>
      </w:r>
    </w:p>
    <w:p w:rsidR="0004296F" w:rsidRDefault="001D22DB" w:rsidP="0004296F">
      <w:pPr>
        <w:spacing w:after="0" w:line="480" w:lineRule="auto"/>
        <w:rPr>
          <w:rFonts w:ascii="Times New Roman" w:hAnsi="Times New Roman" w:cs="Times New Roman"/>
          <w:b/>
          <w:sz w:val="24"/>
          <w:szCs w:val="24"/>
        </w:rPr>
      </w:pPr>
      <w:bookmarkStart w:id="0" w:name="_GoBack"/>
      <w:r>
        <w:rPr>
          <w:rFonts w:ascii="Times New Roman" w:hAnsi="Times New Roman" w:cs="Times New Roman"/>
          <w:sz w:val="24"/>
          <w:szCs w:val="24"/>
        </w:rPr>
        <w:t xml:space="preserve">For </w:t>
      </w:r>
      <w:r w:rsidR="0004296F">
        <w:rPr>
          <w:rFonts w:ascii="Times New Roman" w:hAnsi="Times New Roman" w:cs="Times New Roman"/>
          <w:sz w:val="24"/>
          <w:szCs w:val="24"/>
        </w:rPr>
        <w:t xml:space="preserve">confessions and such statements to be admissible in a court of law, the prosecution team has to conform to the due process of obtaining these statements. The due process looks to protect the defendant against unfair interrogation practices and self-incrimination. Also, using the </w:t>
      </w:r>
      <w:proofErr w:type="spellStart"/>
      <w:r w:rsidR="0004296F">
        <w:rPr>
          <w:rFonts w:ascii="Times New Roman" w:hAnsi="Times New Roman" w:cs="Times New Roman"/>
          <w:sz w:val="24"/>
          <w:szCs w:val="24"/>
        </w:rPr>
        <w:t>delicti</w:t>
      </w:r>
      <w:proofErr w:type="spellEnd"/>
      <w:r w:rsidR="0004296F">
        <w:rPr>
          <w:rFonts w:ascii="Times New Roman" w:hAnsi="Times New Roman" w:cs="Times New Roman"/>
          <w:sz w:val="24"/>
          <w:szCs w:val="24"/>
        </w:rPr>
        <w:t xml:space="preserve"> rule or the trustworthiness doctrine, the prosecution have to confirm that a crime occurred before using confessions and statements to incriminate a person. </w:t>
      </w:r>
      <w:r w:rsidR="00977E7D">
        <w:rPr>
          <w:rFonts w:ascii="Times New Roman" w:hAnsi="Times New Roman" w:cs="Times New Roman"/>
          <w:sz w:val="24"/>
          <w:szCs w:val="24"/>
        </w:rPr>
        <w:t xml:space="preserve">The law also provides that useful confessions should be given voluntarily and should be in line with the requirement of the totality of circumstances test. </w:t>
      </w:r>
      <w:r w:rsidR="0075739B">
        <w:rPr>
          <w:rFonts w:ascii="Times New Roman" w:hAnsi="Times New Roman" w:cs="Times New Roman"/>
          <w:sz w:val="24"/>
          <w:szCs w:val="24"/>
        </w:rPr>
        <w:t xml:space="preserve">However, while considering the totality of circumstances, the prosecutions use of certain deceptions to get a defendant to confess does not necessarily breach the doctrine of voluntariness. </w:t>
      </w:r>
      <w:r w:rsidR="00192B61">
        <w:rPr>
          <w:rFonts w:ascii="Times New Roman" w:hAnsi="Times New Roman" w:cs="Times New Roman"/>
          <w:sz w:val="24"/>
          <w:szCs w:val="24"/>
        </w:rPr>
        <w:t xml:space="preserve">Moreover, for all custodial interrogations, the Miranda requirements decree that every defendant has a right to counsel and a privilege against incriminating themselves. </w:t>
      </w:r>
      <w:r w:rsidR="00B61E42">
        <w:rPr>
          <w:rFonts w:ascii="Times New Roman" w:hAnsi="Times New Roman" w:cs="Times New Roman"/>
          <w:sz w:val="24"/>
          <w:szCs w:val="24"/>
        </w:rPr>
        <w:t xml:space="preserve">Evidence recovered from an unlawful interrogation process can still be admissible in court if the prosecution invoke the inevitable discovery doctrine. In interrogating defendants for confession that could incriminate codefendants, the prosecution team relies on the </w:t>
      </w:r>
      <w:proofErr w:type="spellStart"/>
      <w:r w:rsidR="00B61E42">
        <w:rPr>
          <w:rFonts w:ascii="Times New Roman" w:hAnsi="Times New Roman" w:cs="Times New Roman"/>
          <w:sz w:val="24"/>
          <w:szCs w:val="24"/>
        </w:rPr>
        <w:t>Brutton</w:t>
      </w:r>
      <w:proofErr w:type="spellEnd"/>
      <w:r w:rsidR="00B61E42">
        <w:rPr>
          <w:rFonts w:ascii="Times New Roman" w:hAnsi="Times New Roman" w:cs="Times New Roman"/>
          <w:sz w:val="24"/>
          <w:szCs w:val="24"/>
        </w:rPr>
        <w:t xml:space="preserve"> rule. The investigators cannot use lie detectors or voice stress analyzers to get a subject to confess or prove their innocence as this breaches their privilege against self-incrimination. </w:t>
      </w:r>
      <w:r w:rsidR="0004296F">
        <w:rPr>
          <w:rFonts w:ascii="Times New Roman" w:hAnsi="Times New Roman" w:cs="Times New Roman"/>
          <w:b/>
          <w:sz w:val="24"/>
          <w:szCs w:val="24"/>
        </w:rPr>
        <w:t xml:space="preserve"> </w:t>
      </w:r>
    </w:p>
    <w:bookmarkEnd w:id="0"/>
    <w:p w:rsidR="0004296F" w:rsidRDefault="0004296F">
      <w:pPr>
        <w:rPr>
          <w:rFonts w:ascii="Times New Roman" w:hAnsi="Times New Roman" w:cs="Times New Roman"/>
          <w:b/>
          <w:sz w:val="24"/>
          <w:szCs w:val="24"/>
        </w:rPr>
      </w:pPr>
      <w:r>
        <w:rPr>
          <w:rFonts w:ascii="Times New Roman" w:hAnsi="Times New Roman" w:cs="Times New Roman"/>
          <w:b/>
          <w:sz w:val="24"/>
          <w:szCs w:val="24"/>
        </w:rPr>
        <w:br w:type="page"/>
      </w:r>
    </w:p>
    <w:p w:rsidR="00BA239F" w:rsidRPr="000B6488" w:rsidRDefault="00BA239F" w:rsidP="000B6488">
      <w:pPr>
        <w:spacing w:after="0" w:line="480" w:lineRule="auto"/>
        <w:jc w:val="center"/>
        <w:rPr>
          <w:rFonts w:ascii="Times New Roman" w:hAnsi="Times New Roman" w:cs="Times New Roman"/>
          <w:b/>
          <w:sz w:val="24"/>
          <w:szCs w:val="24"/>
        </w:rPr>
      </w:pPr>
      <w:r w:rsidRPr="000B6488">
        <w:rPr>
          <w:rFonts w:ascii="Times New Roman" w:hAnsi="Times New Roman" w:cs="Times New Roman"/>
          <w:b/>
          <w:sz w:val="24"/>
          <w:szCs w:val="24"/>
        </w:rPr>
        <w:lastRenderedPageBreak/>
        <w:t xml:space="preserve">Introduction </w:t>
      </w:r>
    </w:p>
    <w:p w:rsidR="00BA239F" w:rsidRPr="000B6488" w:rsidRDefault="00BA239F" w:rsidP="000B6488">
      <w:pPr>
        <w:spacing w:after="0" w:line="480" w:lineRule="auto"/>
        <w:rPr>
          <w:rFonts w:ascii="Times New Roman" w:hAnsi="Times New Roman" w:cs="Times New Roman"/>
          <w:sz w:val="24"/>
          <w:szCs w:val="24"/>
        </w:rPr>
      </w:pPr>
      <w:r w:rsidRPr="000B6488">
        <w:rPr>
          <w:rFonts w:ascii="Times New Roman" w:hAnsi="Times New Roman" w:cs="Times New Roman"/>
          <w:sz w:val="24"/>
          <w:szCs w:val="24"/>
        </w:rPr>
        <w:tab/>
        <w:t>In the legal jargon, a confession is a formal statement that one gives to admit their guilt of committing a particular crime. It is important evidence is the criminal justice system in the USA. Confessions can be obtained at any point of the criminal justice system from the point of apprehension, to the point of arraignment, and even during the tri</w:t>
      </w:r>
      <w:r w:rsidR="003F3B6C">
        <w:rPr>
          <w:rFonts w:ascii="Times New Roman" w:hAnsi="Times New Roman" w:cs="Times New Roman"/>
          <w:sz w:val="24"/>
          <w:szCs w:val="24"/>
        </w:rPr>
        <w:t>a</w:t>
      </w:r>
      <w:r w:rsidRPr="000B6488">
        <w:rPr>
          <w:rFonts w:ascii="Times New Roman" w:hAnsi="Times New Roman" w:cs="Times New Roman"/>
          <w:sz w:val="24"/>
          <w:szCs w:val="24"/>
        </w:rPr>
        <w:t xml:space="preserve">l process. </w:t>
      </w:r>
      <w:r w:rsidR="00791FFE" w:rsidRPr="000B6488">
        <w:rPr>
          <w:rFonts w:ascii="Times New Roman" w:hAnsi="Times New Roman" w:cs="Times New Roman"/>
          <w:sz w:val="24"/>
          <w:szCs w:val="24"/>
        </w:rPr>
        <w:t xml:space="preserve">Apart from confessions, there are various statements that both prosecutors and defense attorneys might use </w:t>
      </w:r>
      <w:r w:rsidR="006D5C29">
        <w:rPr>
          <w:rFonts w:ascii="Times New Roman" w:hAnsi="Times New Roman" w:cs="Times New Roman"/>
          <w:sz w:val="24"/>
          <w:szCs w:val="24"/>
        </w:rPr>
        <w:t xml:space="preserve">either </w:t>
      </w:r>
      <w:r w:rsidR="00791FFE" w:rsidRPr="000B6488">
        <w:rPr>
          <w:rFonts w:ascii="Times New Roman" w:hAnsi="Times New Roman" w:cs="Times New Roman"/>
          <w:sz w:val="24"/>
          <w:szCs w:val="24"/>
        </w:rPr>
        <w:t xml:space="preserve">as </w:t>
      </w:r>
      <w:r w:rsidR="006D5C29">
        <w:rPr>
          <w:rFonts w:ascii="Times New Roman" w:hAnsi="Times New Roman" w:cs="Times New Roman"/>
          <w:sz w:val="24"/>
          <w:szCs w:val="24"/>
        </w:rPr>
        <w:t>direct evidence or in refuting</w:t>
      </w:r>
      <w:r w:rsidR="00791FFE" w:rsidRPr="000B6488">
        <w:rPr>
          <w:rFonts w:ascii="Times New Roman" w:hAnsi="Times New Roman" w:cs="Times New Roman"/>
          <w:sz w:val="24"/>
          <w:szCs w:val="24"/>
        </w:rPr>
        <w:t xml:space="preserve"> other evidence presented in a court of law. This paper discusses the various pertinent issues regarding the process of obtaining confessions and other statements for</w:t>
      </w:r>
      <w:r w:rsidR="003F3B6C">
        <w:rPr>
          <w:rFonts w:ascii="Times New Roman" w:hAnsi="Times New Roman" w:cs="Times New Roman"/>
          <w:sz w:val="24"/>
          <w:szCs w:val="24"/>
        </w:rPr>
        <w:t xml:space="preserve"> use as evidence in criminal tr</w:t>
      </w:r>
      <w:r w:rsidR="00791FFE" w:rsidRPr="000B6488">
        <w:rPr>
          <w:rFonts w:ascii="Times New Roman" w:hAnsi="Times New Roman" w:cs="Times New Roman"/>
          <w:sz w:val="24"/>
          <w:szCs w:val="24"/>
        </w:rPr>
        <w:t>i</w:t>
      </w:r>
      <w:r w:rsidR="003F3B6C">
        <w:rPr>
          <w:rFonts w:ascii="Times New Roman" w:hAnsi="Times New Roman" w:cs="Times New Roman"/>
          <w:sz w:val="24"/>
          <w:szCs w:val="24"/>
        </w:rPr>
        <w:t>a</w:t>
      </w:r>
      <w:r w:rsidR="00791FFE" w:rsidRPr="000B6488">
        <w:rPr>
          <w:rFonts w:ascii="Times New Roman" w:hAnsi="Times New Roman" w:cs="Times New Roman"/>
          <w:sz w:val="24"/>
          <w:szCs w:val="24"/>
        </w:rPr>
        <w:t xml:space="preserve">l processes. </w:t>
      </w:r>
    </w:p>
    <w:p w:rsidR="00BD00AC" w:rsidRPr="000B6488" w:rsidRDefault="00BD00AC" w:rsidP="000B6488">
      <w:pPr>
        <w:spacing w:after="0" w:line="480" w:lineRule="auto"/>
        <w:jc w:val="center"/>
        <w:rPr>
          <w:rFonts w:ascii="Times New Roman" w:hAnsi="Times New Roman" w:cs="Times New Roman"/>
          <w:b/>
          <w:sz w:val="24"/>
          <w:szCs w:val="24"/>
        </w:rPr>
      </w:pPr>
      <w:r w:rsidRPr="000B6488">
        <w:rPr>
          <w:rFonts w:ascii="Times New Roman" w:hAnsi="Times New Roman" w:cs="Times New Roman"/>
          <w:b/>
          <w:sz w:val="24"/>
          <w:szCs w:val="24"/>
        </w:rPr>
        <w:t xml:space="preserve">The Corpus </w:t>
      </w:r>
      <w:proofErr w:type="spellStart"/>
      <w:r w:rsidRPr="000B6488">
        <w:rPr>
          <w:rFonts w:ascii="Times New Roman" w:hAnsi="Times New Roman" w:cs="Times New Roman"/>
          <w:b/>
          <w:sz w:val="24"/>
          <w:szCs w:val="24"/>
        </w:rPr>
        <w:t>Delicti</w:t>
      </w:r>
      <w:proofErr w:type="spellEnd"/>
      <w:r w:rsidRPr="000B6488">
        <w:rPr>
          <w:rFonts w:ascii="Times New Roman" w:hAnsi="Times New Roman" w:cs="Times New Roman"/>
          <w:b/>
          <w:sz w:val="24"/>
          <w:szCs w:val="24"/>
        </w:rPr>
        <w:t xml:space="preserve"> Rule</w:t>
      </w:r>
    </w:p>
    <w:p w:rsidR="00BD00AC" w:rsidRPr="000B6488" w:rsidRDefault="002D25DF" w:rsidP="000B6488">
      <w:pPr>
        <w:spacing w:after="0" w:line="480" w:lineRule="auto"/>
        <w:rPr>
          <w:rFonts w:ascii="Times New Roman" w:hAnsi="Times New Roman" w:cs="Times New Roman"/>
          <w:sz w:val="24"/>
          <w:szCs w:val="24"/>
        </w:rPr>
      </w:pPr>
      <w:r w:rsidRPr="000B6488">
        <w:rPr>
          <w:rFonts w:ascii="Times New Roman" w:hAnsi="Times New Roman" w:cs="Times New Roman"/>
          <w:sz w:val="24"/>
          <w:szCs w:val="24"/>
        </w:rPr>
        <w:t xml:space="preserve"> </w:t>
      </w:r>
      <w:r w:rsidR="001B34CE" w:rsidRPr="000B6488">
        <w:rPr>
          <w:rFonts w:ascii="Times New Roman" w:hAnsi="Times New Roman" w:cs="Times New Roman"/>
          <w:sz w:val="24"/>
          <w:szCs w:val="24"/>
        </w:rPr>
        <w:t xml:space="preserve"> </w:t>
      </w:r>
      <w:r w:rsidR="003479B2" w:rsidRPr="000B6488">
        <w:rPr>
          <w:rFonts w:ascii="Times New Roman" w:hAnsi="Times New Roman" w:cs="Times New Roman"/>
          <w:sz w:val="24"/>
          <w:szCs w:val="24"/>
        </w:rPr>
        <w:tab/>
        <w:t xml:space="preserve">The Corpus </w:t>
      </w:r>
      <w:proofErr w:type="spellStart"/>
      <w:r w:rsidR="003479B2" w:rsidRPr="000B6488">
        <w:rPr>
          <w:rFonts w:ascii="Times New Roman" w:hAnsi="Times New Roman" w:cs="Times New Roman"/>
          <w:sz w:val="24"/>
          <w:szCs w:val="24"/>
        </w:rPr>
        <w:t>delicti</w:t>
      </w:r>
      <w:proofErr w:type="spellEnd"/>
      <w:r w:rsidR="003479B2" w:rsidRPr="000B6488">
        <w:rPr>
          <w:rFonts w:ascii="Times New Roman" w:hAnsi="Times New Roman" w:cs="Times New Roman"/>
          <w:sz w:val="24"/>
          <w:szCs w:val="24"/>
        </w:rPr>
        <w:t xml:space="preserve"> rule provides that a defendant can only be convicted of </w:t>
      </w:r>
      <w:r w:rsidR="006018A6" w:rsidRPr="000B6488">
        <w:rPr>
          <w:rFonts w:ascii="Times New Roman" w:hAnsi="Times New Roman" w:cs="Times New Roman"/>
          <w:sz w:val="24"/>
          <w:szCs w:val="24"/>
        </w:rPr>
        <w:t>committing</w:t>
      </w:r>
      <w:r w:rsidR="003479B2" w:rsidRPr="000B6488">
        <w:rPr>
          <w:rFonts w:ascii="Times New Roman" w:hAnsi="Times New Roman" w:cs="Times New Roman"/>
          <w:sz w:val="24"/>
          <w:szCs w:val="24"/>
        </w:rPr>
        <w:t xml:space="preserve"> a certain crime if there is enough evidence to the</w:t>
      </w:r>
      <w:r w:rsidR="006018A6" w:rsidRPr="000B6488">
        <w:rPr>
          <w:rFonts w:ascii="Times New Roman" w:hAnsi="Times New Roman" w:cs="Times New Roman"/>
          <w:sz w:val="24"/>
          <w:szCs w:val="24"/>
        </w:rPr>
        <w:t xml:space="preserve"> fact that a crime was committed</w:t>
      </w:r>
      <w:r w:rsidR="003479B2" w:rsidRPr="000B6488">
        <w:rPr>
          <w:rFonts w:ascii="Times New Roman" w:hAnsi="Times New Roman" w:cs="Times New Roman"/>
          <w:sz w:val="24"/>
          <w:szCs w:val="24"/>
        </w:rPr>
        <w:t xml:space="preserve">. </w:t>
      </w:r>
      <w:r w:rsidR="006018A6" w:rsidRPr="000B6488">
        <w:rPr>
          <w:rFonts w:ascii="Times New Roman" w:hAnsi="Times New Roman" w:cs="Times New Roman"/>
          <w:sz w:val="24"/>
          <w:szCs w:val="24"/>
        </w:rPr>
        <w:t>Thus, f</w:t>
      </w:r>
      <w:r w:rsidR="00D13E41">
        <w:rPr>
          <w:rFonts w:ascii="Times New Roman" w:hAnsi="Times New Roman" w:cs="Times New Roman"/>
          <w:sz w:val="24"/>
          <w:szCs w:val="24"/>
        </w:rPr>
        <w:t>o</w:t>
      </w:r>
      <w:r w:rsidR="006018A6" w:rsidRPr="000B6488">
        <w:rPr>
          <w:rFonts w:ascii="Times New Roman" w:hAnsi="Times New Roman" w:cs="Times New Roman"/>
          <w:sz w:val="24"/>
          <w:szCs w:val="24"/>
        </w:rPr>
        <w:t xml:space="preserve">r a </w:t>
      </w:r>
      <w:r w:rsidR="003479B2" w:rsidRPr="000B6488">
        <w:rPr>
          <w:rFonts w:ascii="Times New Roman" w:hAnsi="Times New Roman" w:cs="Times New Roman"/>
          <w:sz w:val="24"/>
          <w:szCs w:val="24"/>
        </w:rPr>
        <w:t xml:space="preserve">confession to be admissible as incriminating evidence in a court of law, the </w:t>
      </w:r>
      <w:r w:rsidR="00D13E41">
        <w:rPr>
          <w:rFonts w:ascii="Times New Roman" w:hAnsi="Times New Roman" w:cs="Times New Roman"/>
          <w:sz w:val="24"/>
          <w:szCs w:val="24"/>
        </w:rPr>
        <w:t>prosecution has</w:t>
      </w:r>
      <w:r w:rsidR="006018A6" w:rsidRPr="000B6488">
        <w:rPr>
          <w:rFonts w:ascii="Times New Roman" w:hAnsi="Times New Roman" w:cs="Times New Roman"/>
          <w:sz w:val="24"/>
          <w:szCs w:val="24"/>
        </w:rPr>
        <w:t xml:space="preserve"> to</w:t>
      </w:r>
      <w:r w:rsidR="00D916B9">
        <w:rPr>
          <w:rFonts w:ascii="Times New Roman" w:hAnsi="Times New Roman" w:cs="Times New Roman"/>
          <w:sz w:val="24"/>
          <w:szCs w:val="24"/>
        </w:rPr>
        <w:t xml:space="preserve"> </w:t>
      </w:r>
      <w:r w:rsidR="006018A6" w:rsidRPr="000B6488">
        <w:rPr>
          <w:rFonts w:ascii="Times New Roman" w:hAnsi="Times New Roman" w:cs="Times New Roman"/>
          <w:sz w:val="24"/>
          <w:szCs w:val="24"/>
        </w:rPr>
        <w:t xml:space="preserve">prove that a crime actually occurred. </w:t>
      </w:r>
      <w:r w:rsidR="009711F8" w:rsidRPr="000B6488">
        <w:rPr>
          <w:rFonts w:ascii="Times New Roman" w:hAnsi="Times New Roman" w:cs="Times New Roman"/>
          <w:sz w:val="24"/>
          <w:szCs w:val="24"/>
        </w:rPr>
        <w:t>A defendant confession of guilt is insufficient to incriminate them of the crime if there is not proof that the crime actually occurred</w:t>
      </w:r>
      <w:r w:rsidR="00845256" w:rsidRPr="000B6488">
        <w:rPr>
          <w:rFonts w:ascii="Times New Roman" w:hAnsi="Times New Roman" w:cs="Times New Roman"/>
          <w:sz w:val="24"/>
          <w:szCs w:val="24"/>
        </w:rPr>
        <w:t xml:space="preserve"> (Gardner &amp; Anderson, 2016)</w:t>
      </w:r>
      <w:r w:rsidR="009711F8" w:rsidRPr="000B6488">
        <w:rPr>
          <w:rFonts w:ascii="Times New Roman" w:hAnsi="Times New Roman" w:cs="Times New Roman"/>
          <w:sz w:val="24"/>
          <w:szCs w:val="24"/>
        </w:rPr>
        <w:t xml:space="preserve">. </w:t>
      </w:r>
      <w:r w:rsidR="00A67A76" w:rsidRPr="000B6488">
        <w:rPr>
          <w:rFonts w:ascii="Times New Roman" w:hAnsi="Times New Roman" w:cs="Times New Roman"/>
          <w:sz w:val="24"/>
          <w:szCs w:val="24"/>
        </w:rPr>
        <w:t xml:space="preserve">The admissibility of confessions or statements of either defense or prosecution witnesses may even be questionable where the prosecution has failed to demonstrate independent evidence that the crime in question actually occurred. </w:t>
      </w:r>
    </w:p>
    <w:p w:rsidR="00CC1A26" w:rsidRPr="000B6488" w:rsidRDefault="002246ED" w:rsidP="000B6488">
      <w:pPr>
        <w:spacing w:after="0" w:line="480" w:lineRule="auto"/>
        <w:rPr>
          <w:rFonts w:ascii="Times New Roman" w:hAnsi="Times New Roman" w:cs="Times New Roman"/>
          <w:sz w:val="24"/>
          <w:szCs w:val="24"/>
        </w:rPr>
      </w:pPr>
      <w:r w:rsidRPr="000B6488">
        <w:rPr>
          <w:rFonts w:ascii="Times New Roman" w:hAnsi="Times New Roman" w:cs="Times New Roman"/>
          <w:sz w:val="24"/>
          <w:szCs w:val="24"/>
        </w:rPr>
        <w:tab/>
        <w:t xml:space="preserve">The rule protects the defendant. Owing to the requirements of the rule, the prosecution team cannot fabricate testimonies that could establish crimes and identify the perpetrators of the crimes wrongfully. Rather, the testimonies can only be useful where the prosecutor has other evidence to establish that a crime was committed. </w:t>
      </w:r>
      <w:r w:rsidR="00CA2D38" w:rsidRPr="000B6488">
        <w:rPr>
          <w:rFonts w:ascii="Times New Roman" w:hAnsi="Times New Roman" w:cs="Times New Roman"/>
          <w:sz w:val="24"/>
          <w:szCs w:val="24"/>
        </w:rPr>
        <w:t xml:space="preserve">Additionally, the rule forces investigators to carefully consider the facts of the case in the examination and prevents them from strong-arming </w:t>
      </w:r>
      <w:r w:rsidR="00CA2D38" w:rsidRPr="000B6488">
        <w:rPr>
          <w:rFonts w:ascii="Times New Roman" w:hAnsi="Times New Roman" w:cs="Times New Roman"/>
          <w:sz w:val="24"/>
          <w:szCs w:val="24"/>
        </w:rPr>
        <w:lastRenderedPageBreak/>
        <w:t>confessions hence further protecti</w:t>
      </w:r>
      <w:r w:rsidR="003F3B6C">
        <w:rPr>
          <w:rFonts w:ascii="Times New Roman" w:hAnsi="Times New Roman" w:cs="Times New Roman"/>
          <w:sz w:val="24"/>
          <w:szCs w:val="24"/>
        </w:rPr>
        <w:t xml:space="preserve">ng the defendant from </w:t>
      </w:r>
      <w:r w:rsidR="00FF0317">
        <w:rPr>
          <w:rFonts w:ascii="Times New Roman" w:hAnsi="Times New Roman" w:cs="Times New Roman"/>
          <w:sz w:val="24"/>
          <w:szCs w:val="24"/>
        </w:rPr>
        <w:t xml:space="preserve">an </w:t>
      </w:r>
      <w:r w:rsidR="003F3B6C">
        <w:rPr>
          <w:rFonts w:ascii="Times New Roman" w:hAnsi="Times New Roman" w:cs="Times New Roman"/>
          <w:sz w:val="24"/>
          <w:szCs w:val="24"/>
        </w:rPr>
        <w:t>unfair tr</w:t>
      </w:r>
      <w:r w:rsidR="00CA2D38" w:rsidRPr="000B6488">
        <w:rPr>
          <w:rFonts w:ascii="Times New Roman" w:hAnsi="Times New Roman" w:cs="Times New Roman"/>
          <w:sz w:val="24"/>
          <w:szCs w:val="24"/>
        </w:rPr>
        <w:t>i</w:t>
      </w:r>
      <w:r w:rsidR="003F3B6C">
        <w:rPr>
          <w:rFonts w:ascii="Times New Roman" w:hAnsi="Times New Roman" w:cs="Times New Roman"/>
          <w:sz w:val="24"/>
          <w:szCs w:val="24"/>
        </w:rPr>
        <w:t>a</w:t>
      </w:r>
      <w:r w:rsidR="00CA2D38" w:rsidRPr="000B6488">
        <w:rPr>
          <w:rFonts w:ascii="Times New Roman" w:hAnsi="Times New Roman" w:cs="Times New Roman"/>
          <w:sz w:val="24"/>
          <w:szCs w:val="24"/>
        </w:rPr>
        <w:t xml:space="preserve">l. </w:t>
      </w:r>
      <w:r w:rsidR="00860964" w:rsidRPr="000B6488">
        <w:rPr>
          <w:rFonts w:ascii="Times New Roman" w:hAnsi="Times New Roman" w:cs="Times New Roman"/>
          <w:sz w:val="24"/>
          <w:szCs w:val="24"/>
        </w:rPr>
        <w:t xml:space="preserve">However, it is important to note that unlike the contemporary belief that the rule of corpus </w:t>
      </w:r>
      <w:proofErr w:type="spellStart"/>
      <w:r w:rsidR="00860964" w:rsidRPr="000B6488">
        <w:rPr>
          <w:rFonts w:ascii="Times New Roman" w:hAnsi="Times New Roman" w:cs="Times New Roman"/>
          <w:sz w:val="24"/>
          <w:szCs w:val="24"/>
        </w:rPr>
        <w:t>delicti</w:t>
      </w:r>
      <w:proofErr w:type="spellEnd"/>
      <w:r w:rsidR="00860964" w:rsidRPr="000B6488">
        <w:rPr>
          <w:rFonts w:ascii="Times New Roman" w:hAnsi="Times New Roman" w:cs="Times New Roman"/>
          <w:sz w:val="24"/>
          <w:szCs w:val="24"/>
        </w:rPr>
        <w:t xml:space="preserve"> applies most specifically to murder cases and that a criminal conviction is not possible in the absence of the body is false, the rule applies to all other criminal case situations and that modern investigative techniques can sufficiently demonstrate murder in the absence of the body</w:t>
      </w:r>
      <w:r w:rsidR="00285048" w:rsidRPr="000B6488">
        <w:rPr>
          <w:rFonts w:ascii="Times New Roman" w:hAnsi="Times New Roman" w:cs="Times New Roman"/>
          <w:sz w:val="24"/>
          <w:szCs w:val="24"/>
        </w:rPr>
        <w:t xml:space="preserve"> (Gardner &amp; Anderson, 2016)</w:t>
      </w:r>
      <w:r w:rsidR="00860964" w:rsidRPr="000B6488">
        <w:rPr>
          <w:rFonts w:ascii="Times New Roman" w:hAnsi="Times New Roman" w:cs="Times New Roman"/>
          <w:sz w:val="24"/>
          <w:szCs w:val="24"/>
        </w:rPr>
        <w:t xml:space="preserve">. </w:t>
      </w:r>
      <w:r w:rsidR="00CB5032" w:rsidRPr="000B6488">
        <w:rPr>
          <w:rFonts w:ascii="Times New Roman" w:hAnsi="Times New Roman" w:cs="Times New Roman"/>
          <w:sz w:val="24"/>
          <w:szCs w:val="24"/>
        </w:rPr>
        <w:t xml:space="preserve">This recent development relates to the </w:t>
      </w:r>
      <w:r w:rsidR="00220FC1" w:rsidRPr="000B6488">
        <w:rPr>
          <w:rFonts w:ascii="Times New Roman" w:hAnsi="Times New Roman" w:cs="Times New Roman"/>
          <w:sz w:val="24"/>
          <w:szCs w:val="24"/>
        </w:rPr>
        <w:t>trustworthiness</w:t>
      </w:r>
      <w:r w:rsidR="00CB5032" w:rsidRPr="000B6488">
        <w:rPr>
          <w:rFonts w:ascii="Times New Roman" w:hAnsi="Times New Roman" w:cs="Times New Roman"/>
          <w:sz w:val="24"/>
          <w:szCs w:val="24"/>
        </w:rPr>
        <w:t xml:space="preserve"> doctrine. Instead of attempting to prove the corpus </w:t>
      </w:r>
      <w:proofErr w:type="spellStart"/>
      <w:r w:rsidR="00CB5032" w:rsidRPr="000B6488">
        <w:rPr>
          <w:rFonts w:ascii="Times New Roman" w:hAnsi="Times New Roman" w:cs="Times New Roman"/>
          <w:sz w:val="24"/>
          <w:szCs w:val="24"/>
        </w:rPr>
        <w:t>delicti</w:t>
      </w:r>
      <w:proofErr w:type="spellEnd"/>
      <w:r w:rsidR="00CB5032" w:rsidRPr="000B6488">
        <w:rPr>
          <w:rFonts w:ascii="Times New Roman" w:hAnsi="Times New Roman" w:cs="Times New Roman"/>
          <w:sz w:val="24"/>
          <w:szCs w:val="24"/>
        </w:rPr>
        <w:t xml:space="preserve"> per se, the US law is moving towards an era where the accuracy of the confess</w:t>
      </w:r>
      <w:r w:rsidR="003F3B6C">
        <w:rPr>
          <w:rFonts w:ascii="Times New Roman" w:hAnsi="Times New Roman" w:cs="Times New Roman"/>
          <w:sz w:val="24"/>
          <w:szCs w:val="24"/>
        </w:rPr>
        <w:t>ion is more important in the tr</w:t>
      </w:r>
      <w:r w:rsidR="00CB5032" w:rsidRPr="000B6488">
        <w:rPr>
          <w:rFonts w:ascii="Times New Roman" w:hAnsi="Times New Roman" w:cs="Times New Roman"/>
          <w:sz w:val="24"/>
          <w:szCs w:val="24"/>
        </w:rPr>
        <w:t>i</w:t>
      </w:r>
      <w:r w:rsidR="003F3B6C">
        <w:rPr>
          <w:rFonts w:ascii="Times New Roman" w:hAnsi="Times New Roman" w:cs="Times New Roman"/>
          <w:sz w:val="24"/>
          <w:szCs w:val="24"/>
        </w:rPr>
        <w:t>a</w:t>
      </w:r>
      <w:r w:rsidR="00CB5032" w:rsidRPr="000B6488">
        <w:rPr>
          <w:rFonts w:ascii="Times New Roman" w:hAnsi="Times New Roman" w:cs="Times New Roman"/>
          <w:sz w:val="24"/>
          <w:szCs w:val="24"/>
        </w:rPr>
        <w:t xml:space="preserve">l process than alternative evidence that the crime did occur. </w:t>
      </w:r>
      <w:r w:rsidR="00220FC1" w:rsidRPr="000B6488">
        <w:rPr>
          <w:rFonts w:ascii="Times New Roman" w:hAnsi="Times New Roman" w:cs="Times New Roman"/>
          <w:sz w:val="24"/>
          <w:szCs w:val="24"/>
        </w:rPr>
        <w:t xml:space="preserve">The main criterion in determining the trustworthiness of a confession is the voluntariness of the confessor. </w:t>
      </w:r>
    </w:p>
    <w:p w:rsidR="00CC1A26" w:rsidRPr="000B6488" w:rsidRDefault="00CC1A26" w:rsidP="000B6488">
      <w:pPr>
        <w:spacing w:after="0" w:line="480" w:lineRule="auto"/>
        <w:jc w:val="center"/>
        <w:rPr>
          <w:rFonts w:ascii="Times New Roman" w:hAnsi="Times New Roman" w:cs="Times New Roman"/>
          <w:b/>
          <w:sz w:val="24"/>
          <w:szCs w:val="24"/>
        </w:rPr>
      </w:pPr>
      <w:r w:rsidRPr="000B6488">
        <w:rPr>
          <w:rFonts w:ascii="Times New Roman" w:hAnsi="Times New Roman" w:cs="Times New Roman"/>
          <w:b/>
          <w:sz w:val="24"/>
          <w:szCs w:val="24"/>
        </w:rPr>
        <w:t>Voluntariness of Confessions</w:t>
      </w:r>
    </w:p>
    <w:p w:rsidR="008406A0" w:rsidRPr="000B6488" w:rsidRDefault="00CC1A26" w:rsidP="000B6488">
      <w:pPr>
        <w:spacing w:after="0" w:line="480" w:lineRule="auto"/>
        <w:ind w:firstLine="720"/>
        <w:rPr>
          <w:rFonts w:ascii="Times New Roman" w:hAnsi="Times New Roman" w:cs="Times New Roman"/>
          <w:sz w:val="24"/>
          <w:szCs w:val="24"/>
        </w:rPr>
      </w:pPr>
      <w:r w:rsidRPr="000B6488">
        <w:rPr>
          <w:rFonts w:ascii="Times New Roman" w:hAnsi="Times New Roman" w:cs="Times New Roman"/>
          <w:sz w:val="24"/>
          <w:szCs w:val="24"/>
        </w:rPr>
        <w:t xml:space="preserve">For confessions to be admissible in a court of law as trustworthy, they have to be given voluntarily. </w:t>
      </w:r>
      <w:r w:rsidR="00220FC1" w:rsidRPr="000B6488">
        <w:rPr>
          <w:rFonts w:ascii="Times New Roman" w:hAnsi="Times New Roman" w:cs="Times New Roman"/>
          <w:sz w:val="24"/>
          <w:szCs w:val="24"/>
        </w:rPr>
        <w:t xml:space="preserve">Where a person was coerced into confession, the confession will not be admissible in a court of law regardless of the presence of alternative evidence to the fact that the crime occurred. </w:t>
      </w:r>
      <w:r w:rsidR="00BC79E7" w:rsidRPr="000B6488">
        <w:rPr>
          <w:rFonts w:ascii="Times New Roman" w:hAnsi="Times New Roman" w:cs="Times New Roman"/>
          <w:sz w:val="24"/>
          <w:szCs w:val="24"/>
        </w:rPr>
        <w:t xml:space="preserve">A voluntariness test is used to determine whether the police or the prosecution team utilized a means that overbears the will of the defendant in obtaining a confession that incriminates the defendant from them. </w:t>
      </w:r>
      <w:r w:rsidR="001E68B0" w:rsidRPr="000B6488">
        <w:rPr>
          <w:rFonts w:ascii="Times New Roman" w:hAnsi="Times New Roman" w:cs="Times New Roman"/>
          <w:sz w:val="24"/>
          <w:szCs w:val="24"/>
        </w:rPr>
        <w:t>Through the due process claus</w:t>
      </w:r>
      <w:r w:rsidR="00FF0317">
        <w:rPr>
          <w:rFonts w:ascii="Times New Roman" w:hAnsi="Times New Roman" w:cs="Times New Roman"/>
          <w:sz w:val="24"/>
          <w:szCs w:val="24"/>
        </w:rPr>
        <w:t>es of the Fifth and Fourteenth A</w:t>
      </w:r>
      <w:r w:rsidR="001E68B0" w:rsidRPr="000B6488">
        <w:rPr>
          <w:rFonts w:ascii="Times New Roman" w:hAnsi="Times New Roman" w:cs="Times New Roman"/>
          <w:sz w:val="24"/>
          <w:szCs w:val="24"/>
        </w:rPr>
        <w:t>mendments, the US constitution establishes the voluntariness doctrine</w:t>
      </w:r>
      <w:r w:rsidR="00E32CD2" w:rsidRPr="000B6488">
        <w:rPr>
          <w:rFonts w:ascii="Times New Roman" w:hAnsi="Times New Roman" w:cs="Times New Roman"/>
          <w:sz w:val="24"/>
          <w:szCs w:val="24"/>
        </w:rPr>
        <w:t xml:space="preserve"> (Primus, 2015)</w:t>
      </w:r>
      <w:r w:rsidR="001E68B0" w:rsidRPr="000B6488">
        <w:rPr>
          <w:rFonts w:ascii="Times New Roman" w:hAnsi="Times New Roman" w:cs="Times New Roman"/>
          <w:sz w:val="24"/>
          <w:szCs w:val="24"/>
        </w:rPr>
        <w:t>.</w:t>
      </w:r>
      <w:r w:rsidR="00E345F2" w:rsidRPr="000B6488">
        <w:rPr>
          <w:rFonts w:ascii="Times New Roman" w:hAnsi="Times New Roman" w:cs="Times New Roman"/>
          <w:sz w:val="24"/>
          <w:szCs w:val="24"/>
        </w:rPr>
        <w:t xml:space="preserve"> In essence, the voluntariness doctrine is the only legal mechanism that protects convicts during police interrogations. </w:t>
      </w:r>
      <w:r w:rsidR="00783355" w:rsidRPr="000B6488">
        <w:rPr>
          <w:rFonts w:ascii="Times New Roman" w:hAnsi="Times New Roman" w:cs="Times New Roman"/>
          <w:sz w:val="24"/>
          <w:szCs w:val="24"/>
        </w:rPr>
        <w:t xml:space="preserve">However, the voluntariness test is largely vague hence limiting its ability to protect convicts. </w:t>
      </w:r>
      <w:r w:rsidR="003C7321" w:rsidRPr="000B6488">
        <w:rPr>
          <w:rFonts w:ascii="Times New Roman" w:hAnsi="Times New Roman" w:cs="Times New Roman"/>
          <w:sz w:val="24"/>
          <w:szCs w:val="24"/>
        </w:rPr>
        <w:t xml:space="preserve">The </w:t>
      </w:r>
      <w:r w:rsidR="00453332" w:rsidRPr="000B6488">
        <w:rPr>
          <w:rFonts w:ascii="Times New Roman" w:hAnsi="Times New Roman" w:cs="Times New Roman"/>
          <w:sz w:val="24"/>
          <w:szCs w:val="24"/>
        </w:rPr>
        <w:t xml:space="preserve">standard for this test is vague and varies from case to case hence its failure to eliminate the possibility of the legal system using it to coerce the convict. The doctrine’ failure to protect victims adequately is primarily because of the doctrines failure to </w:t>
      </w:r>
      <w:r w:rsidR="00453332" w:rsidRPr="000B6488">
        <w:rPr>
          <w:rFonts w:ascii="Times New Roman" w:hAnsi="Times New Roman" w:cs="Times New Roman"/>
          <w:sz w:val="24"/>
          <w:szCs w:val="24"/>
        </w:rPr>
        <w:lastRenderedPageBreak/>
        <w:t>separate its two main aspects: the offensiveness of police interrogations and the problem of false confessions</w:t>
      </w:r>
      <w:r w:rsidR="008406A0" w:rsidRPr="000B6488">
        <w:rPr>
          <w:rFonts w:ascii="Times New Roman" w:hAnsi="Times New Roman" w:cs="Times New Roman"/>
          <w:sz w:val="24"/>
          <w:szCs w:val="24"/>
        </w:rPr>
        <w:t xml:space="preserve"> (Primus, 2015)</w:t>
      </w:r>
      <w:r w:rsidR="00453332" w:rsidRPr="000B6488">
        <w:rPr>
          <w:rFonts w:ascii="Times New Roman" w:hAnsi="Times New Roman" w:cs="Times New Roman"/>
          <w:sz w:val="24"/>
          <w:szCs w:val="24"/>
        </w:rPr>
        <w:t xml:space="preserve">. Separating these two aspects of the doctrine of voluntariness would enhance the effectiveness of this doctrine both in protecting convicts and enhancing the trustworthiness of confessions obtained. </w:t>
      </w:r>
    </w:p>
    <w:p w:rsidR="001A74EA" w:rsidRPr="000B6488" w:rsidRDefault="001A74EA" w:rsidP="000B6488">
      <w:pPr>
        <w:spacing w:after="0" w:line="480" w:lineRule="auto"/>
        <w:jc w:val="center"/>
        <w:rPr>
          <w:rFonts w:ascii="Times New Roman" w:hAnsi="Times New Roman" w:cs="Times New Roman"/>
          <w:b/>
          <w:sz w:val="24"/>
          <w:szCs w:val="24"/>
        </w:rPr>
      </w:pPr>
      <w:r w:rsidRPr="000B6488">
        <w:rPr>
          <w:rFonts w:ascii="Times New Roman" w:hAnsi="Times New Roman" w:cs="Times New Roman"/>
          <w:b/>
          <w:sz w:val="24"/>
          <w:szCs w:val="24"/>
        </w:rPr>
        <w:t>Totality-of-the-circumstances Test</w:t>
      </w:r>
    </w:p>
    <w:p w:rsidR="001A74EA" w:rsidRPr="000B6488" w:rsidRDefault="00E10293" w:rsidP="000B6488">
      <w:pPr>
        <w:spacing w:after="0" w:line="480" w:lineRule="auto"/>
        <w:rPr>
          <w:rFonts w:ascii="Times New Roman" w:hAnsi="Times New Roman" w:cs="Times New Roman"/>
          <w:sz w:val="24"/>
          <w:szCs w:val="24"/>
        </w:rPr>
      </w:pPr>
      <w:r w:rsidRPr="000B6488">
        <w:rPr>
          <w:rFonts w:ascii="Times New Roman" w:hAnsi="Times New Roman" w:cs="Times New Roman"/>
          <w:b/>
          <w:sz w:val="24"/>
          <w:szCs w:val="24"/>
        </w:rPr>
        <w:tab/>
      </w:r>
      <w:r w:rsidR="00AF41A5" w:rsidRPr="000B6488">
        <w:rPr>
          <w:rFonts w:ascii="Times New Roman" w:hAnsi="Times New Roman" w:cs="Times New Roman"/>
          <w:sz w:val="24"/>
          <w:szCs w:val="24"/>
        </w:rPr>
        <w:t>Apart</w:t>
      </w:r>
      <w:r w:rsidRPr="000B6488">
        <w:rPr>
          <w:rFonts w:ascii="Times New Roman" w:hAnsi="Times New Roman" w:cs="Times New Roman"/>
          <w:sz w:val="24"/>
          <w:szCs w:val="24"/>
        </w:rPr>
        <w:t xml:space="preserve"> from the corpus </w:t>
      </w:r>
      <w:proofErr w:type="spellStart"/>
      <w:r w:rsidRPr="000B6488">
        <w:rPr>
          <w:rFonts w:ascii="Times New Roman" w:hAnsi="Times New Roman" w:cs="Times New Roman"/>
          <w:sz w:val="24"/>
          <w:szCs w:val="24"/>
        </w:rPr>
        <w:t>delicti</w:t>
      </w:r>
      <w:proofErr w:type="spellEnd"/>
      <w:r w:rsidRPr="000B6488">
        <w:rPr>
          <w:rFonts w:ascii="Times New Roman" w:hAnsi="Times New Roman" w:cs="Times New Roman"/>
          <w:sz w:val="24"/>
          <w:szCs w:val="24"/>
        </w:rPr>
        <w:t xml:space="preserve"> rule and the establishment of the voluntariness of </w:t>
      </w:r>
      <w:r w:rsidR="00FF0317">
        <w:rPr>
          <w:rFonts w:ascii="Times New Roman" w:hAnsi="Times New Roman" w:cs="Times New Roman"/>
          <w:sz w:val="24"/>
          <w:szCs w:val="24"/>
        </w:rPr>
        <w:t xml:space="preserve">a confession or </w:t>
      </w:r>
      <w:r w:rsidRPr="000B6488">
        <w:rPr>
          <w:rFonts w:ascii="Times New Roman" w:hAnsi="Times New Roman" w:cs="Times New Roman"/>
          <w:sz w:val="24"/>
          <w:szCs w:val="24"/>
        </w:rPr>
        <w:t xml:space="preserve">a statement, it is important to assess the totality of circumstances before using a confession as evidence in a court of law. </w:t>
      </w:r>
      <w:r w:rsidR="00AF41A5" w:rsidRPr="000B6488">
        <w:rPr>
          <w:rFonts w:ascii="Times New Roman" w:hAnsi="Times New Roman" w:cs="Times New Roman"/>
          <w:sz w:val="24"/>
          <w:szCs w:val="24"/>
        </w:rPr>
        <w:t>The test looks to look at the whole picture and eliminate the potential</w:t>
      </w:r>
      <w:r w:rsidR="001C37D5">
        <w:rPr>
          <w:rFonts w:ascii="Times New Roman" w:hAnsi="Times New Roman" w:cs="Times New Roman"/>
          <w:sz w:val="24"/>
          <w:szCs w:val="24"/>
        </w:rPr>
        <w:t>ly</w:t>
      </w:r>
      <w:r w:rsidR="00AF41A5" w:rsidRPr="000B6488">
        <w:rPr>
          <w:rFonts w:ascii="Times New Roman" w:hAnsi="Times New Roman" w:cs="Times New Roman"/>
          <w:sz w:val="24"/>
          <w:szCs w:val="24"/>
        </w:rPr>
        <w:t xml:space="preserve"> undesirable effects of selectivity on the trial process. In considering the whole situation, the court considers the vulnerabilities of the suspect, the process of interrogation, the place of interrogation, and the use of either processes, threats, deceptions, trickery or lies during interrogation</w:t>
      </w:r>
      <w:r w:rsidR="00E53613" w:rsidRPr="000B6488">
        <w:rPr>
          <w:rFonts w:ascii="Times New Roman" w:hAnsi="Times New Roman" w:cs="Times New Roman"/>
          <w:sz w:val="24"/>
          <w:szCs w:val="24"/>
        </w:rPr>
        <w:t xml:space="preserve"> (Gardner &amp; Anderson, 2016)</w:t>
      </w:r>
      <w:r w:rsidR="00AF41A5" w:rsidRPr="000B6488">
        <w:rPr>
          <w:rFonts w:ascii="Times New Roman" w:hAnsi="Times New Roman" w:cs="Times New Roman"/>
          <w:sz w:val="24"/>
          <w:szCs w:val="24"/>
        </w:rPr>
        <w:t xml:space="preserve">. </w:t>
      </w:r>
      <w:r w:rsidR="007E3C56" w:rsidRPr="000B6488">
        <w:rPr>
          <w:rFonts w:ascii="Times New Roman" w:hAnsi="Times New Roman" w:cs="Times New Roman"/>
          <w:sz w:val="24"/>
          <w:szCs w:val="24"/>
        </w:rPr>
        <w:t xml:space="preserve">In other words, the totality of circumstances test attempts to establish whether the rights of the </w:t>
      </w:r>
      <w:r w:rsidR="008F3253">
        <w:rPr>
          <w:rFonts w:ascii="Times New Roman" w:hAnsi="Times New Roman" w:cs="Times New Roman"/>
          <w:sz w:val="24"/>
          <w:szCs w:val="24"/>
        </w:rPr>
        <w:t>defendant were brea</w:t>
      </w:r>
      <w:r w:rsidR="007E3C56" w:rsidRPr="000B6488">
        <w:rPr>
          <w:rFonts w:ascii="Times New Roman" w:hAnsi="Times New Roman" w:cs="Times New Roman"/>
          <w:sz w:val="24"/>
          <w:szCs w:val="24"/>
        </w:rPr>
        <w:t xml:space="preserve">ched during the investigation process hence its role in protecting the defendant. </w:t>
      </w:r>
      <w:r w:rsidR="007865DF" w:rsidRPr="000B6488">
        <w:rPr>
          <w:rFonts w:ascii="Times New Roman" w:hAnsi="Times New Roman" w:cs="Times New Roman"/>
          <w:sz w:val="24"/>
          <w:szCs w:val="24"/>
        </w:rPr>
        <w:t xml:space="preserve">In modern times, the totality of circumstances test is majorly used to determine whether the defendant’s privilege of avoiding unreasonable searches or breaches or arrests without probable cause was breached or not. </w:t>
      </w:r>
    </w:p>
    <w:p w:rsidR="00E30386" w:rsidRPr="000B6488" w:rsidRDefault="00E30386" w:rsidP="000B6488">
      <w:pPr>
        <w:spacing w:after="0" w:line="480" w:lineRule="auto"/>
        <w:rPr>
          <w:rFonts w:ascii="Times New Roman" w:hAnsi="Times New Roman" w:cs="Times New Roman"/>
          <w:sz w:val="24"/>
          <w:szCs w:val="24"/>
        </w:rPr>
      </w:pPr>
      <w:r w:rsidRPr="000B6488">
        <w:rPr>
          <w:rFonts w:ascii="Times New Roman" w:hAnsi="Times New Roman" w:cs="Times New Roman"/>
          <w:sz w:val="24"/>
          <w:szCs w:val="24"/>
        </w:rPr>
        <w:tab/>
        <w:t>A totality of circumstances test appreciates the fact that there cannot be any single factor or context that the court can consider to determine whether a detention had an appropriate probable cause or that the defendant did not break the law. as such, it is necessary to consider multiple circumstances and contexts of the suspected crime, resultant detention, and the investigation process before determining whether there was probable cause for detention or not</w:t>
      </w:r>
      <w:r w:rsidR="00C840D4" w:rsidRPr="000B6488">
        <w:rPr>
          <w:rFonts w:ascii="Times New Roman" w:hAnsi="Times New Roman" w:cs="Times New Roman"/>
          <w:sz w:val="24"/>
          <w:szCs w:val="24"/>
        </w:rPr>
        <w:t xml:space="preserve"> (Gardner &amp; Anderson, 2016)</w:t>
      </w:r>
      <w:r w:rsidRPr="000B6488">
        <w:rPr>
          <w:rFonts w:ascii="Times New Roman" w:hAnsi="Times New Roman" w:cs="Times New Roman"/>
          <w:sz w:val="24"/>
          <w:szCs w:val="24"/>
        </w:rPr>
        <w:t xml:space="preserve">. </w:t>
      </w:r>
      <w:r w:rsidR="00E240B0" w:rsidRPr="000B6488">
        <w:rPr>
          <w:rFonts w:ascii="Times New Roman" w:hAnsi="Times New Roman" w:cs="Times New Roman"/>
          <w:sz w:val="24"/>
          <w:szCs w:val="24"/>
        </w:rPr>
        <w:t xml:space="preserve">In essence, if the court considers the totality of circumstances and determines that a seizure or search that led to conviction or the interrogation process was against </w:t>
      </w:r>
      <w:r w:rsidR="00E240B0" w:rsidRPr="000B6488">
        <w:rPr>
          <w:rFonts w:ascii="Times New Roman" w:hAnsi="Times New Roman" w:cs="Times New Roman"/>
          <w:sz w:val="24"/>
          <w:szCs w:val="24"/>
        </w:rPr>
        <w:lastRenderedPageBreak/>
        <w:t>the provisions of the fourth amendment, then all the evidence recovered in an unlawful process, including confessions and statements, is not admissible in the trial process</w:t>
      </w:r>
      <w:r w:rsidR="00B745CA" w:rsidRPr="000B6488">
        <w:rPr>
          <w:rFonts w:ascii="Times New Roman" w:hAnsi="Times New Roman" w:cs="Times New Roman"/>
          <w:sz w:val="24"/>
          <w:szCs w:val="24"/>
        </w:rPr>
        <w:t xml:space="preserve"> (Siegel, 2016)</w:t>
      </w:r>
      <w:r w:rsidR="00E240B0" w:rsidRPr="000B6488">
        <w:rPr>
          <w:rFonts w:ascii="Times New Roman" w:hAnsi="Times New Roman" w:cs="Times New Roman"/>
          <w:sz w:val="24"/>
          <w:szCs w:val="24"/>
        </w:rPr>
        <w:t xml:space="preserve">. </w:t>
      </w:r>
      <w:r w:rsidR="00E528A4" w:rsidRPr="000B6488">
        <w:rPr>
          <w:rFonts w:ascii="Times New Roman" w:hAnsi="Times New Roman" w:cs="Times New Roman"/>
          <w:sz w:val="24"/>
          <w:szCs w:val="24"/>
        </w:rPr>
        <w:t xml:space="preserve">For instance, if a police officers did not have a probable cause to stop a car and search it but recover illicit drugs within the car and have evidence that the driver or another occupant of the car intended to sell the drugs, the police cannot use the recovered drugs as evidence for the crime in the trial process. </w:t>
      </w:r>
      <w:r w:rsidR="00CA7EA0" w:rsidRPr="000B6488">
        <w:rPr>
          <w:rFonts w:ascii="Times New Roman" w:hAnsi="Times New Roman" w:cs="Times New Roman"/>
          <w:sz w:val="24"/>
          <w:szCs w:val="24"/>
        </w:rPr>
        <w:t xml:space="preserve">For police to search a person’s residence, for instance, they must have evidence that suggests that they would find the evidence they need from that person’s residence. The law enforcers would need to convince the magistrate that they have probable cause to believe that a search is necessary for the magistrate to issue a search warrant. Where the officers use statements by witnesses to establish probable cause, it is important for them to establish the reliability of the statements and to corroborate them where necessary. </w:t>
      </w:r>
      <w:r w:rsidR="002F4B74" w:rsidRPr="000B6488">
        <w:rPr>
          <w:rFonts w:ascii="Times New Roman" w:hAnsi="Times New Roman" w:cs="Times New Roman"/>
          <w:sz w:val="24"/>
          <w:szCs w:val="24"/>
        </w:rPr>
        <w:t>Johnson (2004) asserts that corroboration is even more important where</w:t>
      </w:r>
      <w:r w:rsidR="00F8157E" w:rsidRPr="000B6488">
        <w:rPr>
          <w:rFonts w:ascii="Times New Roman" w:hAnsi="Times New Roman" w:cs="Times New Roman"/>
          <w:sz w:val="24"/>
          <w:szCs w:val="24"/>
        </w:rPr>
        <w:t xml:space="preserve"> the informer tip is anonymous or that informant did not witness the criminal activity first hand. </w:t>
      </w:r>
    </w:p>
    <w:p w:rsidR="00D13C5B" w:rsidRPr="000B6488" w:rsidRDefault="00D13C5B" w:rsidP="000B6488">
      <w:pPr>
        <w:spacing w:after="0" w:line="480" w:lineRule="auto"/>
        <w:rPr>
          <w:rFonts w:ascii="Times New Roman" w:hAnsi="Times New Roman" w:cs="Times New Roman"/>
          <w:sz w:val="24"/>
          <w:szCs w:val="24"/>
        </w:rPr>
      </w:pPr>
      <w:r w:rsidRPr="000B6488">
        <w:rPr>
          <w:rFonts w:ascii="Times New Roman" w:hAnsi="Times New Roman" w:cs="Times New Roman"/>
          <w:sz w:val="24"/>
          <w:szCs w:val="24"/>
        </w:rPr>
        <w:tab/>
        <w:t xml:space="preserve">With regards to the use of deceptions or lies in the interrogation process, the US law states that this phenomenon does not necessarily make a confession involuntary. As such, it is still possible for a confession to be admissible in the trial chamber even when it is clear that the defendant was deceived into giving the confession. </w:t>
      </w:r>
      <w:proofErr w:type="spellStart"/>
      <w:r w:rsidR="002A4ECA" w:rsidRPr="000B6488">
        <w:rPr>
          <w:rFonts w:ascii="Times New Roman" w:hAnsi="Times New Roman" w:cs="Times New Roman"/>
          <w:sz w:val="24"/>
          <w:szCs w:val="24"/>
        </w:rPr>
        <w:t>Najdowski</w:t>
      </w:r>
      <w:proofErr w:type="spellEnd"/>
      <w:r w:rsidR="00D66EBA" w:rsidRPr="000B6488">
        <w:rPr>
          <w:rFonts w:ascii="Times New Roman" w:hAnsi="Times New Roman" w:cs="Times New Roman"/>
          <w:sz w:val="24"/>
          <w:szCs w:val="24"/>
        </w:rPr>
        <w:t xml:space="preserve"> and </w:t>
      </w:r>
      <w:proofErr w:type="spellStart"/>
      <w:r w:rsidR="00D66EBA" w:rsidRPr="000B6488">
        <w:rPr>
          <w:rFonts w:ascii="Times New Roman" w:hAnsi="Times New Roman" w:cs="Times New Roman"/>
          <w:sz w:val="24"/>
          <w:szCs w:val="24"/>
        </w:rPr>
        <w:t>Bonventre</w:t>
      </w:r>
      <w:proofErr w:type="spellEnd"/>
      <w:r w:rsidR="00D66EBA" w:rsidRPr="000B6488">
        <w:rPr>
          <w:rFonts w:ascii="Times New Roman" w:hAnsi="Times New Roman" w:cs="Times New Roman"/>
          <w:sz w:val="24"/>
          <w:szCs w:val="24"/>
        </w:rPr>
        <w:t xml:space="preserve"> (</w:t>
      </w:r>
      <w:r w:rsidR="002A4ECA" w:rsidRPr="000B6488">
        <w:rPr>
          <w:rFonts w:ascii="Times New Roman" w:hAnsi="Times New Roman" w:cs="Times New Roman"/>
          <w:sz w:val="24"/>
          <w:szCs w:val="24"/>
        </w:rPr>
        <w:t>2014</w:t>
      </w:r>
      <w:r w:rsidR="000545B0" w:rsidRPr="000B6488">
        <w:rPr>
          <w:rFonts w:ascii="Times New Roman" w:hAnsi="Times New Roman" w:cs="Times New Roman"/>
          <w:sz w:val="24"/>
          <w:szCs w:val="24"/>
        </w:rPr>
        <w:t xml:space="preserve">) utilize various past Supreme Court cases including the 2012 case of the United States v. Nightingale to highlight the extent to which the law allows investigators to deceive a defendant in attempting to get them to confess. For instance, it is not illegal for police to deceive a suspect of the presence of satellite photography of the crime scene or their fingerprints at the crime scene when this is not true. </w:t>
      </w:r>
      <w:r w:rsidR="009937B7" w:rsidRPr="000B6488">
        <w:rPr>
          <w:rFonts w:ascii="Times New Roman" w:hAnsi="Times New Roman" w:cs="Times New Roman"/>
          <w:sz w:val="24"/>
          <w:szCs w:val="24"/>
        </w:rPr>
        <w:t>However, an explicit promise of leniency to the defendant is equated to involuntariness</w:t>
      </w:r>
      <w:r w:rsidR="00B745CA" w:rsidRPr="000B6488">
        <w:rPr>
          <w:rFonts w:ascii="Times New Roman" w:hAnsi="Times New Roman" w:cs="Times New Roman"/>
          <w:sz w:val="24"/>
          <w:szCs w:val="24"/>
        </w:rPr>
        <w:t xml:space="preserve"> (Marcus, 2006)</w:t>
      </w:r>
      <w:r w:rsidR="009937B7" w:rsidRPr="000B6488">
        <w:rPr>
          <w:rFonts w:ascii="Times New Roman" w:hAnsi="Times New Roman" w:cs="Times New Roman"/>
          <w:sz w:val="24"/>
          <w:szCs w:val="24"/>
        </w:rPr>
        <w:t xml:space="preserve">. </w:t>
      </w:r>
      <w:r w:rsidR="0089578B" w:rsidRPr="000B6488">
        <w:rPr>
          <w:rFonts w:ascii="Times New Roman" w:hAnsi="Times New Roman" w:cs="Times New Roman"/>
          <w:sz w:val="24"/>
          <w:szCs w:val="24"/>
        </w:rPr>
        <w:t>The US constitutional law considers such expli</w:t>
      </w:r>
      <w:r w:rsidR="00E670D0">
        <w:rPr>
          <w:rFonts w:ascii="Times New Roman" w:hAnsi="Times New Roman" w:cs="Times New Roman"/>
          <w:sz w:val="24"/>
          <w:szCs w:val="24"/>
        </w:rPr>
        <w:t>cit deceptions as a violation of</w:t>
      </w:r>
      <w:r w:rsidR="0089578B" w:rsidRPr="000B6488">
        <w:rPr>
          <w:rFonts w:ascii="Times New Roman" w:hAnsi="Times New Roman" w:cs="Times New Roman"/>
          <w:sz w:val="24"/>
          <w:szCs w:val="24"/>
        </w:rPr>
        <w:t xml:space="preserve"> </w:t>
      </w:r>
      <w:r w:rsidR="0089578B" w:rsidRPr="000B6488">
        <w:rPr>
          <w:rFonts w:ascii="Times New Roman" w:hAnsi="Times New Roman" w:cs="Times New Roman"/>
          <w:sz w:val="24"/>
          <w:szCs w:val="24"/>
        </w:rPr>
        <w:lastRenderedPageBreak/>
        <w:t xml:space="preserve">the defendant’s privilege against self-incrimination as provided by the </w:t>
      </w:r>
      <w:r w:rsidR="000545B0" w:rsidRPr="000B6488">
        <w:rPr>
          <w:rFonts w:ascii="Times New Roman" w:hAnsi="Times New Roman" w:cs="Times New Roman"/>
          <w:sz w:val="24"/>
          <w:szCs w:val="24"/>
        </w:rPr>
        <w:t>Fifth Amendment</w:t>
      </w:r>
      <w:r w:rsidR="0089578B" w:rsidRPr="000B6488">
        <w:rPr>
          <w:rFonts w:ascii="Times New Roman" w:hAnsi="Times New Roman" w:cs="Times New Roman"/>
          <w:sz w:val="24"/>
          <w:szCs w:val="24"/>
        </w:rPr>
        <w:t xml:space="preserve"> and a violation of the due process clause of the fourth and fourteenth amendments. </w:t>
      </w:r>
      <w:r w:rsidR="00932CB2" w:rsidRPr="000B6488">
        <w:rPr>
          <w:rFonts w:ascii="Times New Roman" w:hAnsi="Times New Roman" w:cs="Times New Roman"/>
          <w:sz w:val="24"/>
          <w:szCs w:val="24"/>
        </w:rPr>
        <w:t xml:space="preserve">While tolerating deception, the law limits the use of certain deceptions. For instance, the police are not allowed to deceive a suspect that their confessions will not be used against them. </w:t>
      </w:r>
    </w:p>
    <w:p w:rsidR="00932CB2" w:rsidRPr="000B6488" w:rsidRDefault="00932CB2" w:rsidP="000B6488">
      <w:pPr>
        <w:spacing w:after="0" w:line="480" w:lineRule="auto"/>
        <w:rPr>
          <w:rFonts w:ascii="Times New Roman" w:hAnsi="Times New Roman" w:cs="Times New Roman"/>
          <w:sz w:val="24"/>
          <w:szCs w:val="24"/>
        </w:rPr>
      </w:pPr>
      <w:r w:rsidRPr="000B6488">
        <w:rPr>
          <w:rFonts w:ascii="Times New Roman" w:hAnsi="Times New Roman" w:cs="Times New Roman"/>
          <w:sz w:val="24"/>
          <w:szCs w:val="24"/>
        </w:rPr>
        <w:tab/>
        <w:t>In assessing the totality of circumstances, the length of the interrogation process is also an important consideration. For instance, long and stressful interrogations are often overbearing on the defendant’s will and, thus, the confessions obtained from such interrogations might not be admissible in the trial chamber</w:t>
      </w:r>
      <w:r w:rsidR="009A745F" w:rsidRPr="000B6488">
        <w:rPr>
          <w:rFonts w:ascii="Times New Roman" w:hAnsi="Times New Roman" w:cs="Times New Roman"/>
          <w:sz w:val="24"/>
          <w:szCs w:val="24"/>
        </w:rPr>
        <w:t xml:space="preserve"> (</w:t>
      </w:r>
      <w:proofErr w:type="spellStart"/>
      <w:r w:rsidR="00D66EBA" w:rsidRPr="000B6488">
        <w:rPr>
          <w:rFonts w:ascii="Times New Roman" w:hAnsi="Times New Roman" w:cs="Times New Roman"/>
          <w:sz w:val="24"/>
          <w:szCs w:val="24"/>
        </w:rPr>
        <w:t>Najdowski</w:t>
      </w:r>
      <w:proofErr w:type="spellEnd"/>
      <w:r w:rsidR="00D66EBA" w:rsidRPr="000B6488">
        <w:rPr>
          <w:rFonts w:ascii="Times New Roman" w:hAnsi="Times New Roman" w:cs="Times New Roman"/>
          <w:sz w:val="24"/>
          <w:szCs w:val="24"/>
        </w:rPr>
        <w:t xml:space="preserve"> &amp; </w:t>
      </w:r>
      <w:proofErr w:type="spellStart"/>
      <w:r w:rsidR="00D66EBA" w:rsidRPr="000B6488">
        <w:rPr>
          <w:rFonts w:ascii="Times New Roman" w:hAnsi="Times New Roman" w:cs="Times New Roman"/>
          <w:sz w:val="24"/>
          <w:szCs w:val="24"/>
        </w:rPr>
        <w:t>Bonventre</w:t>
      </w:r>
      <w:proofErr w:type="spellEnd"/>
      <w:r w:rsidR="00D66EBA" w:rsidRPr="000B6488">
        <w:rPr>
          <w:rFonts w:ascii="Times New Roman" w:hAnsi="Times New Roman" w:cs="Times New Roman"/>
          <w:sz w:val="24"/>
          <w:szCs w:val="24"/>
        </w:rPr>
        <w:t>, 2014)</w:t>
      </w:r>
      <w:r w:rsidRPr="000B6488">
        <w:rPr>
          <w:rFonts w:ascii="Times New Roman" w:hAnsi="Times New Roman" w:cs="Times New Roman"/>
          <w:sz w:val="24"/>
          <w:szCs w:val="24"/>
        </w:rPr>
        <w:t xml:space="preserve">. </w:t>
      </w:r>
      <w:r w:rsidR="00414717" w:rsidRPr="000B6488">
        <w:rPr>
          <w:rFonts w:ascii="Times New Roman" w:hAnsi="Times New Roman" w:cs="Times New Roman"/>
          <w:sz w:val="24"/>
          <w:szCs w:val="24"/>
        </w:rPr>
        <w:t xml:space="preserve">Additionally, the setting of interrogation is important. A largely threatening and uncomfortable interrogation setting can overbear the defendant’s will and violate their right to voluntariness. </w:t>
      </w:r>
    </w:p>
    <w:p w:rsidR="00752A8A" w:rsidRPr="000B6488" w:rsidRDefault="00752A8A" w:rsidP="000B6488">
      <w:pPr>
        <w:spacing w:after="0" w:line="480" w:lineRule="auto"/>
        <w:jc w:val="center"/>
        <w:rPr>
          <w:rFonts w:ascii="Times New Roman" w:hAnsi="Times New Roman" w:cs="Times New Roman"/>
          <w:b/>
          <w:sz w:val="24"/>
          <w:szCs w:val="24"/>
        </w:rPr>
      </w:pPr>
      <w:r w:rsidRPr="000B6488">
        <w:rPr>
          <w:rFonts w:ascii="Times New Roman" w:hAnsi="Times New Roman" w:cs="Times New Roman"/>
          <w:b/>
          <w:sz w:val="24"/>
          <w:szCs w:val="24"/>
        </w:rPr>
        <w:t xml:space="preserve">The Miranda Requirements </w:t>
      </w:r>
    </w:p>
    <w:p w:rsidR="00752A8A" w:rsidRPr="000B6488" w:rsidRDefault="00752A8A" w:rsidP="000B6488">
      <w:pPr>
        <w:spacing w:after="0" w:line="480" w:lineRule="auto"/>
        <w:rPr>
          <w:rFonts w:ascii="Times New Roman" w:hAnsi="Times New Roman" w:cs="Times New Roman"/>
          <w:sz w:val="24"/>
          <w:szCs w:val="24"/>
        </w:rPr>
      </w:pPr>
      <w:r w:rsidRPr="000B6488">
        <w:rPr>
          <w:rFonts w:ascii="Times New Roman" w:hAnsi="Times New Roman" w:cs="Times New Roman"/>
          <w:b/>
          <w:sz w:val="24"/>
          <w:szCs w:val="24"/>
        </w:rPr>
        <w:tab/>
      </w:r>
      <w:r w:rsidRPr="000B6488">
        <w:rPr>
          <w:rFonts w:ascii="Times New Roman" w:hAnsi="Times New Roman" w:cs="Times New Roman"/>
          <w:sz w:val="24"/>
          <w:szCs w:val="24"/>
        </w:rPr>
        <w:t xml:space="preserve">The US Supreme Court established these requirements as key procedural safeguards. These requirements protect the </w:t>
      </w:r>
      <w:proofErr w:type="gramStart"/>
      <w:r w:rsidRPr="000B6488">
        <w:rPr>
          <w:rFonts w:ascii="Times New Roman" w:hAnsi="Times New Roman" w:cs="Times New Roman"/>
          <w:sz w:val="24"/>
          <w:szCs w:val="24"/>
        </w:rPr>
        <w:t>defendants</w:t>
      </w:r>
      <w:proofErr w:type="gramEnd"/>
      <w:r w:rsidRPr="000B6488">
        <w:rPr>
          <w:rFonts w:ascii="Times New Roman" w:hAnsi="Times New Roman" w:cs="Times New Roman"/>
          <w:sz w:val="24"/>
          <w:szCs w:val="24"/>
        </w:rPr>
        <w:t xml:space="preserve"> privilege against self-incrimination as provided by the </w:t>
      </w:r>
      <w:r w:rsidR="00B05164" w:rsidRPr="000B6488">
        <w:rPr>
          <w:rFonts w:ascii="Times New Roman" w:hAnsi="Times New Roman" w:cs="Times New Roman"/>
          <w:sz w:val="24"/>
          <w:szCs w:val="24"/>
        </w:rPr>
        <w:t>Fifth Amendment</w:t>
      </w:r>
      <w:r w:rsidRPr="000B6488">
        <w:rPr>
          <w:rFonts w:ascii="Times New Roman" w:hAnsi="Times New Roman" w:cs="Times New Roman"/>
          <w:sz w:val="24"/>
          <w:szCs w:val="24"/>
        </w:rPr>
        <w:t xml:space="preserve"> and also </w:t>
      </w:r>
      <w:r w:rsidR="00B05164" w:rsidRPr="000B6488">
        <w:rPr>
          <w:rFonts w:ascii="Times New Roman" w:hAnsi="Times New Roman" w:cs="Times New Roman"/>
          <w:sz w:val="24"/>
          <w:szCs w:val="24"/>
        </w:rPr>
        <w:t>safeguard the defendant’s Sixth Amendment right to counsel</w:t>
      </w:r>
      <w:r w:rsidR="00BF7E11" w:rsidRPr="000B6488">
        <w:rPr>
          <w:rFonts w:ascii="Times New Roman" w:hAnsi="Times New Roman" w:cs="Times New Roman"/>
          <w:sz w:val="24"/>
          <w:szCs w:val="24"/>
        </w:rPr>
        <w:t xml:space="preserve"> (Gardner &amp; Anderson, 2016)</w:t>
      </w:r>
      <w:r w:rsidR="00B05164" w:rsidRPr="000B6488">
        <w:rPr>
          <w:rFonts w:ascii="Times New Roman" w:hAnsi="Times New Roman" w:cs="Times New Roman"/>
          <w:sz w:val="24"/>
          <w:szCs w:val="24"/>
        </w:rPr>
        <w:t xml:space="preserve">. </w:t>
      </w:r>
      <w:r w:rsidR="00F12DDC" w:rsidRPr="000B6488">
        <w:rPr>
          <w:rFonts w:ascii="Times New Roman" w:hAnsi="Times New Roman" w:cs="Times New Roman"/>
          <w:sz w:val="24"/>
          <w:szCs w:val="24"/>
        </w:rPr>
        <w:t xml:space="preserve">In line with this requirements, the interrogating officer has the responsibility to inform the defendant of his right to silence in the interrogation; the officer has to respect this right too. </w:t>
      </w:r>
      <w:r w:rsidR="00111DF1" w:rsidRPr="000B6488">
        <w:rPr>
          <w:rFonts w:ascii="Times New Roman" w:hAnsi="Times New Roman" w:cs="Times New Roman"/>
          <w:sz w:val="24"/>
          <w:szCs w:val="24"/>
        </w:rPr>
        <w:t xml:space="preserve">Even then, the prosecution cannot later attempt to draw meaning from a defendant’s silence as this action will amount to a violation of due process. </w:t>
      </w:r>
      <w:r w:rsidR="0061512F" w:rsidRPr="000B6488">
        <w:rPr>
          <w:rFonts w:ascii="Times New Roman" w:hAnsi="Times New Roman" w:cs="Times New Roman"/>
          <w:sz w:val="24"/>
          <w:szCs w:val="24"/>
        </w:rPr>
        <w:t>Additionally, the officer must inform the convict of the possibility that his statements could be used against him in the trial process and that they are entitled to the presence of their attorney in the trial process</w:t>
      </w:r>
      <w:r w:rsidR="00987FBD" w:rsidRPr="000B6488">
        <w:rPr>
          <w:rFonts w:ascii="Times New Roman" w:hAnsi="Times New Roman" w:cs="Times New Roman"/>
          <w:sz w:val="24"/>
          <w:szCs w:val="24"/>
        </w:rPr>
        <w:t xml:space="preserve"> (Gardner &amp; Anderson, 2016)</w:t>
      </w:r>
      <w:r w:rsidR="0061512F" w:rsidRPr="000B6488">
        <w:rPr>
          <w:rFonts w:ascii="Times New Roman" w:hAnsi="Times New Roman" w:cs="Times New Roman"/>
          <w:sz w:val="24"/>
          <w:szCs w:val="24"/>
        </w:rPr>
        <w:t>. The Miranda requirements also beseech the state to appoint a defense attorney for a defendant who cannot afford their own counsel.</w:t>
      </w:r>
    </w:p>
    <w:p w:rsidR="00AA2DEA" w:rsidRPr="000B6488" w:rsidRDefault="00AA2DEA" w:rsidP="000B6488">
      <w:pPr>
        <w:spacing w:after="0" w:line="480" w:lineRule="auto"/>
        <w:rPr>
          <w:rFonts w:ascii="Times New Roman" w:hAnsi="Times New Roman" w:cs="Times New Roman"/>
          <w:sz w:val="24"/>
          <w:szCs w:val="24"/>
        </w:rPr>
      </w:pPr>
      <w:r w:rsidRPr="000B6488">
        <w:rPr>
          <w:rFonts w:ascii="Times New Roman" w:hAnsi="Times New Roman" w:cs="Times New Roman"/>
          <w:sz w:val="24"/>
          <w:szCs w:val="24"/>
        </w:rPr>
        <w:lastRenderedPageBreak/>
        <w:tab/>
        <w:t xml:space="preserve">The Miranda requirements are, however, only applicable to persons already in custody. </w:t>
      </w:r>
      <w:r w:rsidR="00D553A1" w:rsidRPr="000B6488">
        <w:rPr>
          <w:rFonts w:ascii="Times New Roman" w:hAnsi="Times New Roman" w:cs="Times New Roman"/>
          <w:sz w:val="24"/>
          <w:szCs w:val="24"/>
        </w:rPr>
        <w:t xml:space="preserve">The requirements are also not necessary where a person volunteers information. </w:t>
      </w:r>
      <w:r w:rsidR="00081C6E" w:rsidRPr="000B6488">
        <w:rPr>
          <w:rFonts w:ascii="Times New Roman" w:hAnsi="Times New Roman" w:cs="Times New Roman"/>
          <w:sz w:val="24"/>
          <w:szCs w:val="24"/>
        </w:rPr>
        <w:t>Also, where a person gives spontaneous declarations, the Miranda requirements are not necessary. Moreover, Miranda requirements are not necessary where police officers are questioning persons at the crime scene to establish facts of the crime</w:t>
      </w:r>
      <w:r w:rsidR="004E0552" w:rsidRPr="000B6488">
        <w:rPr>
          <w:rFonts w:ascii="Times New Roman" w:hAnsi="Times New Roman" w:cs="Times New Roman"/>
          <w:sz w:val="24"/>
          <w:szCs w:val="24"/>
        </w:rPr>
        <w:t xml:space="preserve"> (Gardner &amp; Anderson, 2016)</w:t>
      </w:r>
      <w:r w:rsidR="00081C6E" w:rsidRPr="000B6488">
        <w:rPr>
          <w:rFonts w:ascii="Times New Roman" w:hAnsi="Times New Roman" w:cs="Times New Roman"/>
          <w:sz w:val="24"/>
          <w:szCs w:val="24"/>
        </w:rPr>
        <w:t xml:space="preserve">. </w:t>
      </w:r>
      <w:r w:rsidR="00E67A19" w:rsidRPr="000B6488">
        <w:rPr>
          <w:rFonts w:ascii="Times New Roman" w:hAnsi="Times New Roman" w:cs="Times New Roman"/>
          <w:sz w:val="24"/>
          <w:szCs w:val="24"/>
        </w:rPr>
        <w:t xml:space="preserve">Additionally, the requirements do not apply in investigative detentions. In other words, in scenarios where officers have cause to believe that one is committing a crime, has committed a crime or intends to commit a crime, the officers have a legal right to detain and question the person without necessarily observing the Miranda requirements. </w:t>
      </w:r>
      <w:r w:rsidR="00FD555D" w:rsidRPr="000B6488">
        <w:rPr>
          <w:rFonts w:ascii="Times New Roman" w:hAnsi="Times New Roman" w:cs="Times New Roman"/>
          <w:sz w:val="24"/>
          <w:szCs w:val="24"/>
        </w:rPr>
        <w:t>The same applies to matters of public safety</w:t>
      </w:r>
      <w:r w:rsidR="004B2732" w:rsidRPr="000B6488">
        <w:rPr>
          <w:rFonts w:ascii="Times New Roman" w:hAnsi="Times New Roman" w:cs="Times New Roman"/>
          <w:sz w:val="24"/>
          <w:szCs w:val="24"/>
        </w:rPr>
        <w:t xml:space="preserve"> or where the life of an individual is at stake</w:t>
      </w:r>
      <w:r w:rsidR="00FD555D" w:rsidRPr="000B6488">
        <w:rPr>
          <w:rFonts w:ascii="Times New Roman" w:hAnsi="Times New Roman" w:cs="Times New Roman"/>
          <w:sz w:val="24"/>
          <w:szCs w:val="24"/>
        </w:rPr>
        <w:t xml:space="preserve">; if the police have probable cause to believe that one poses </w:t>
      </w:r>
      <w:r w:rsidR="00BC49CF">
        <w:rPr>
          <w:rFonts w:ascii="Times New Roman" w:hAnsi="Times New Roman" w:cs="Times New Roman"/>
          <w:sz w:val="24"/>
          <w:szCs w:val="24"/>
        </w:rPr>
        <w:t xml:space="preserve">a </w:t>
      </w:r>
      <w:r w:rsidR="00FD555D" w:rsidRPr="000B6488">
        <w:rPr>
          <w:rFonts w:ascii="Times New Roman" w:hAnsi="Times New Roman" w:cs="Times New Roman"/>
          <w:sz w:val="24"/>
          <w:szCs w:val="24"/>
        </w:rPr>
        <w:t>public danger, they have the legal right to arrest, frisk, and interrogate them without necessarily invoking the Miranda requirements</w:t>
      </w:r>
      <w:r w:rsidR="008C561C" w:rsidRPr="000B6488">
        <w:rPr>
          <w:rFonts w:ascii="Times New Roman" w:hAnsi="Times New Roman" w:cs="Times New Roman"/>
          <w:sz w:val="24"/>
          <w:szCs w:val="24"/>
        </w:rPr>
        <w:t xml:space="preserve"> (</w:t>
      </w:r>
      <w:proofErr w:type="spellStart"/>
      <w:r w:rsidR="008C561C" w:rsidRPr="000B6488">
        <w:rPr>
          <w:rFonts w:ascii="Times New Roman" w:hAnsi="Times New Roman" w:cs="Times New Roman"/>
          <w:sz w:val="24"/>
          <w:szCs w:val="24"/>
        </w:rPr>
        <w:t>Maoz</w:t>
      </w:r>
      <w:proofErr w:type="spellEnd"/>
      <w:r w:rsidR="008C561C" w:rsidRPr="000B6488">
        <w:rPr>
          <w:rFonts w:ascii="Times New Roman" w:hAnsi="Times New Roman" w:cs="Times New Roman"/>
          <w:sz w:val="24"/>
          <w:szCs w:val="24"/>
        </w:rPr>
        <w:t>, 2011)</w:t>
      </w:r>
      <w:r w:rsidR="00FD555D" w:rsidRPr="000B6488">
        <w:rPr>
          <w:rFonts w:ascii="Times New Roman" w:hAnsi="Times New Roman" w:cs="Times New Roman"/>
          <w:sz w:val="24"/>
          <w:szCs w:val="24"/>
        </w:rPr>
        <w:t xml:space="preserve">. </w:t>
      </w:r>
      <w:r w:rsidR="00730199" w:rsidRPr="000B6488">
        <w:rPr>
          <w:rFonts w:ascii="Times New Roman" w:hAnsi="Times New Roman" w:cs="Times New Roman"/>
          <w:sz w:val="24"/>
          <w:szCs w:val="24"/>
        </w:rPr>
        <w:t xml:space="preserve">The same applies to ordinary traffic patrols and stops – police officers have a legal right to stop and search a car and interrogate the occupants if there is sufficient reason for the stop. </w:t>
      </w:r>
      <w:r w:rsidR="00484F71" w:rsidRPr="000B6488">
        <w:rPr>
          <w:rFonts w:ascii="Times New Roman" w:hAnsi="Times New Roman" w:cs="Times New Roman"/>
          <w:sz w:val="24"/>
          <w:szCs w:val="24"/>
        </w:rPr>
        <w:t xml:space="preserve">Situations where police routinely book an individual for questioning or where private individuals ask </w:t>
      </w:r>
      <w:proofErr w:type="gramStart"/>
      <w:r w:rsidR="00484F71" w:rsidRPr="000B6488">
        <w:rPr>
          <w:rFonts w:ascii="Times New Roman" w:hAnsi="Times New Roman" w:cs="Times New Roman"/>
          <w:sz w:val="24"/>
          <w:szCs w:val="24"/>
        </w:rPr>
        <w:t>officers</w:t>
      </w:r>
      <w:proofErr w:type="gramEnd"/>
      <w:r w:rsidR="00484F71" w:rsidRPr="000B6488">
        <w:rPr>
          <w:rFonts w:ascii="Times New Roman" w:hAnsi="Times New Roman" w:cs="Times New Roman"/>
          <w:sz w:val="24"/>
          <w:szCs w:val="24"/>
        </w:rPr>
        <w:t xml:space="preserve"> questions are also exempt from the Miranda requirements. </w:t>
      </w:r>
      <w:r w:rsidR="00640160" w:rsidRPr="000B6488">
        <w:rPr>
          <w:rFonts w:ascii="Times New Roman" w:hAnsi="Times New Roman" w:cs="Times New Roman"/>
          <w:sz w:val="24"/>
          <w:szCs w:val="24"/>
        </w:rPr>
        <w:t xml:space="preserve">Further, police officers within a specified radius from the border and immigration officers are exempted from the Miranda requirements and a large part of the provisions of the Fifth Amendment. For instance, in questioning an alien looking to illegally immigrate into America, officers can overlook the Miranda requirements. </w:t>
      </w:r>
      <w:r w:rsidR="00C82F09" w:rsidRPr="000B6488">
        <w:rPr>
          <w:rFonts w:ascii="Times New Roman" w:hAnsi="Times New Roman" w:cs="Times New Roman"/>
          <w:sz w:val="24"/>
          <w:szCs w:val="24"/>
        </w:rPr>
        <w:t>On the other side, the strict requirement that persons on parole or probation be highly truthful during subsequent interrogations effectively denies these persons the cover of the Miranda requirements</w:t>
      </w:r>
      <w:r w:rsidR="00782DB8" w:rsidRPr="000B6488">
        <w:rPr>
          <w:rFonts w:ascii="Times New Roman" w:hAnsi="Times New Roman" w:cs="Times New Roman"/>
          <w:sz w:val="24"/>
          <w:szCs w:val="24"/>
        </w:rPr>
        <w:t xml:space="preserve"> (Gardner &amp; Anderson, 2016)</w:t>
      </w:r>
      <w:r w:rsidR="00C82F09" w:rsidRPr="000B6488">
        <w:rPr>
          <w:rFonts w:ascii="Times New Roman" w:hAnsi="Times New Roman" w:cs="Times New Roman"/>
          <w:sz w:val="24"/>
          <w:szCs w:val="24"/>
        </w:rPr>
        <w:t xml:space="preserve">. </w:t>
      </w:r>
      <w:r w:rsidR="00D9004F" w:rsidRPr="000B6488">
        <w:rPr>
          <w:rFonts w:ascii="Times New Roman" w:hAnsi="Times New Roman" w:cs="Times New Roman"/>
          <w:sz w:val="24"/>
          <w:szCs w:val="24"/>
        </w:rPr>
        <w:t xml:space="preserve">Failure to abide by the requirement to be truthful could lead to revocation of a parole or probation. </w:t>
      </w:r>
      <w:r w:rsidR="00805E48" w:rsidRPr="000B6488">
        <w:rPr>
          <w:rFonts w:ascii="Times New Roman" w:hAnsi="Times New Roman" w:cs="Times New Roman"/>
          <w:sz w:val="24"/>
          <w:szCs w:val="24"/>
        </w:rPr>
        <w:t xml:space="preserve">By extension, parole and probation officers are not bound by </w:t>
      </w:r>
      <w:r w:rsidR="00805E48" w:rsidRPr="000B6488">
        <w:rPr>
          <w:rFonts w:ascii="Times New Roman" w:hAnsi="Times New Roman" w:cs="Times New Roman"/>
          <w:sz w:val="24"/>
          <w:szCs w:val="24"/>
        </w:rPr>
        <w:lastRenderedPageBreak/>
        <w:t xml:space="preserve">the Miranda requirements. </w:t>
      </w:r>
      <w:r w:rsidR="00E45683" w:rsidRPr="000B6488">
        <w:rPr>
          <w:rFonts w:ascii="Times New Roman" w:hAnsi="Times New Roman" w:cs="Times New Roman"/>
          <w:sz w:val="24"/>
          <w:szCs w:val="24"/>
        </w:rPr>
        <w:t xml:space="preserve">A key aspect of contention with regards to exemptions from Miranda requirements is the exemption of undercover officers who deal with suspects. </w:t>
      </w:r>
    </w:p>
    <w:p w:rsidR="00BF48E1" w:rsidRPr="000B6488" w:rsidRDefault="00BF48E1" w:rsidP="000B6488">
      <w:pPr>
        <w:spacing w:after="0" w:line="480" w:lineRule="auto"/>
        <w:rPr>
          <w:rFonts w:ascii="Times New Roman" w:hAnsi="Times New Roman" w:cs="Times New Roman"/>
          <w:sz w:val="24"/>
          <w:szCs w:val="24"/>
        </w:rPr>
      </w:pPr>
      <w:r w:rsidRPr="000B6488">
        <w:rPr>
          <w:rFonts w:ascii="Times New Roman" w:hAnsi="Times New Roman" w:cs="Times New Roman"/>
          <w:sz w:val="24"/>
          <w:szCs w:val="24"/>
        </w:rPr>
        <w:tab/>
        <w:t xml:space="preserve">As the Miranda requirements stipulate, every defendant has the right to an attorney. </w:t>
      </w:r>
      <w:r w:rsidR="00537B32" w:rsidRPr="000B6488">
        <w:rPr>
          <w:rFonts w:ascii="Times New Roman" w:hAnsi="Times New Roman" w:cs="Times New Roman"/>
          <w:sz w:val="24"/>
          <w:szCs w:val="24"/>
        </w:rPr>
        <w:t xml:space="preserve">However, provided the defendant or witness has knowledge of his right to an attorney, the interrogation can continue in the absence of an attorney. </w:t>
      </w:r>
      <w:r w:rsidR="00AA5FD1" w:rsidRPr="000B6488">
        <w:rPr>
          <w:rFonts w:ascii="Times New Roman" w:hAnsi="Times New Roman" w:cs="Times New Roman"/>
          <w:sz w:val="24"/>
          <w:szCs w:val="24"/>
        </w:rPr>
        <w:t>The interrogation may, however, not proceed in the absence of the defense attorney or the defendants’ choice to waive their right to an attorney during custodial interrogations and in situations where a defendant is formally being charged for a crime</w:t>
      </w:r>
      <w:r w:rsidR="00782DB8" w:rsidRPr="000B6488">
        <w:rPr>
          <w:rFonts w:ascii="Times New Roman" w:hAnsi="Times New Roman" w:cs="Times New Roman"/>
          <w:sz w:val="24"/>
          <w:szCs w:val="24"/>
        </w:rPr>
        <w:t xml:space="preserve"> (Gardner &amp; Anderson, 2016)</w:t>
      </w:r>
      <w:r w:rsidR="00AA5FD1" w:rsidRPr="000B6488">
        <w:rPr>
          <w:rFonts w:ascii="Times New Roman" w:hAnsi="Times New Roman" w:cs="Times New Roman"/>
          <w:sz w:val="24"/>
          <w:szCs w:val="24"/>
        </w:rPr>
        <w:t xml:space="preserve">. </w:t>
      </w:r>
      <w:r w:rsidR="00D66551" w:rsidRPr="000B6488">
        <w:rPr>
          <w:rFonts w:ascii="Times New Roman" w:hAnsi="Times New Roman" w:cs="Times New Roman"/>
          <w:sz w:val="24"/>
          <w:szCs w:val="24"/>
        </w:rPr>
        <w:t xml:space="preserve">In line with one’s right to an attorney, all individuals in custody have the right to make necessary phone calls to secure attorneys for themselves. </w:t>
      </w:r>
      <w:r w:rsidR="006A3DA1" w:rsidRPr="000B6488">
        <w:rPr>
          <w:rFonts w:ascii="Times New Roman" w:hAnsi="Times New Roman" w:cs="Times New Roman"/>
          <w:sz w:val="24"/>
          <w:szCs w:val="24"/>
        </w:rPr>
        <w:t xml:space="preserve">Once a criminal case commences, one has the right to an attorney even before a formal prosecution starts. </w:t>
      </w:r>
      <w:r w:rsidR="00F6652B" w:rsidRPr="000B6488">
        <w:rPr>
          <w:rFonts w:ascii="Times New Roman" w:hAnsi="Times New Roman" w:cs="Times New Roman"/>
          <w:sz w:val="24"/>
          <w:szCs w:val="24"/>
        </w:rPr>
        <w:t xml:space="preserve">Additionally, the Messiah limitation stops the police from continuing to question a defendant after they have invoked their sixth amendment right to an attorney. </w:t>
      </w:r>
    </w:p>
    <w:p w:rsidR="003E71CD" w:rsidRPr="000B6488" w:rsidRDefault="003E71CD" w:rsidP="000B6488">
      <w:pPr>
        <w:spacing w:after="0" w:line="480" w:lineRule="auto"/>
        <w:jc w:val="center"/>
        <w:rPr>
          <w:rFonts w:ascii="Times New Roman" w:hAnsi="Times New Roman" w:cs="Times New Roman"/>
          <w:b/>
          <w:sz w:val="24"/>
          <w:szCs w:val="24"/>
        </w:rPr>
      </w:pPr>
      <w:r w:rsidRPr="000B6488">
        <w:rPr>
          <w:rFonts w:ascii="Times New Roman" w:hAnsi="Times New Roman" w:cs="Times New Roman"/>
          <w:b/>
          <w:sz w:val="24"/>
          <w:szCs w:val="24"/>
        </w:rPr>
        <w:t>Inevitable Discovery</w:t>
      </w:r>
    </w:p>
    <w:p w:rsidR="003E71CD" w:rsidRPr="000B6488" w:rsidRDefault="003E71CD" w:rsidP="000B6488">
      <w:pPr>
        <w:spacing w:after="0" w:line="480" w:lineRule="auto"/>
        <w:rPr>
          <w:rFonts w:ascii="Times New Roman" w:hAnsi="Times New Roman" w:cs="Times New Roman"/>
          <w:sz w:val="24"/>
          <w:szCs w:val="24"/>
        </w:rPr>
      </w:pPr>
      <w:r w:rsidRPr="000B6488">
        <w:rPr>
          <w:rFonts w:ascii="Times New Roman" w:hAnsi="Times New Roman" w:cs="Times New Roman"/>
          <w:sz w:val="24"/>
          <w:szCs w:val="24"/>
        </w:rPr>
        <w:tab/>
        <w:t>In line with the Miranda requirements and the due process clause of the fourth and fourteenth amendments, one’s confessions or statements may not be admissible in a court of law if the interrogation process violated the rights of the defendant</w:t>
      </w:r>
      <w:r w:rsidR="00847ECB" w:rsidRPr="000B6488">
        <w:rPr>
          <w:rFonts w:ascii="Times New Roman" w:hAnsi="Times New Roman" w:cs="Times New Roman"/>
          <w:sz w:val="24"/>
          <w:szCs w:val="24"/>
        </w:rPr>
        <w:t xml:space="preserve"> (Gardner &amp; Anderson, 2016)</w:t>
      </w:r>
      <w:r w:rsidRPr="000B6488">
        <w:rPr>
          <w:rFonts w:ascii="Times New Roman" w:hAnsi="Times New Roman" w:cs="Times New Roman"/>
          <w:sz w:val="24"/>
          <w:szCs w:val="24"/>
        </w:rPr>
        <w:t>. However, the US Supreme Court established in Brewer v. Williams U.S. 387 that the evidence gathered by a rather unlawful interrogation process can still be admissible in the trial chamber if the preponderance of evidence suggests that the investigators would have unearthed the same evidence by an alte</w:t>
      </w:r>
      <w:r w:rsidR="008F3253">
        <w:rPr>
          <w:rFonts w:ascii="Times New Roman" w:hAnsi="Times New Roman" w:cs="Times New Roman"/>
          <w:sz w:val="24"/>
          <w:szCs w:val="24"/>
        </w:rPr>
        <w:t>rnative means that does not brea</w:t>
      </w:r>
      <w:r w:rsidRPr="000B6488">
        <w:rPr>
          <w:rFonts w:ascii="Times New Roman" w:hAnsi="Times New Roman" w:cs="Times New Roman"/>
          <w:sz w:val="24"/>
          <w:szCs w:val="24"/>
        </w:rPr>
        <w:t>ch the rights of the defendant</w:t>
      </w:r>
      <w:r w:rsidR="00847ECB" w:rsidRPr="000B6488">
        <w:rPr>
          <w:rFonts w:ascii="Times New Roman" w:hAnsi="Times New Roman" w:cs="Times New Roman"/>
          <w:sz w:val="24"/>
          <w:szCs w:val="24"/>
        </w:rPr>
        <w:t xml:space="preserve"> (Lewis, 2016)</w:t>
      </w:r>
      <w:r w:rsidRPr="000B6488">
        <w:rPr>
          <w:rFonts w:ascii="Times New Roman" w:hAnsi="Times New Roman" w:cs="Times New Roman"/>
          <w:sz w:val="24"/>
          <w:szCs w:val="24"/>
        </w:rPr>
        <w:t xml:space="preserve">. </w:t>
      </w:r>
    </w:p>
    <w:p w:rsidR="00680082" w:rsidRPr="000B6488" w:rsidRDefault="00680082" w:rsidP="000B6488">
      <w:pPr>
        <w:spacing w:after="0" w:line="480" w:lineRule="auto"/>
        <w:jc w:val="center"/>
        <w:rPr>
          <w:rFonts w:ascii="Times New Roman" w:hAnsi="Times New Roman" w:cs="Times New Roman"/>
          <w:b/>
          <w:sz w:val="24"/>
          <w:szCs w:val="24"/>
        </w:rPr>
      </w:pPr>
      <w:r w:rsidRPr="000B6488">
        <w:rPr>
          <w:rFonts w:ascii="Times New Roman" w:hAnsi="Times New Roman" w:cs="Times New Roman"/>
          <w:b/>
          <w:sz w:val="24"/>
          <w:szCs w:val="24"/>
        </w:rPr>
        <w:t xml:space="preserve">The </w:t>
      </w:r>
      <w:proofErr w:type="spellStart"/>
      <w:r w:rsidRPr="000B6488">
        <w:rPr>
          <w:rFonts w:ascii="Times New Roman" w:hAnsi="Times New Roman" w:cs="Times New Roman"/>
          <w:b/>
          <w:sz w:val="24"/>
          <w:szCs w:val="24"/>
        </w:rPr>
        <w:t>Brutton</w:t>
      </w:r>
      <w:proofErr w:type="spellEnd"/>
      <w:r w:rsidRPr="000B6488">
        <w:rPr>
          <w:rFonts w:ascii="Times New Roman" w:hAnsi="Times New Roman" w:cs="Times New Roman"/>
          <w:b/>
          <w:sz w:val="24"/>
          <w:szCs w:val="24"/>
        </w:rPr>
        <w:t xml:space="preserve"> Rule</w:t>
      </w:r>
    </w:p>
    <w:p w:rsidR="00680082" w:rsidRPr="000B6488" w:rsidRDefault="0070694A" w:rsidP="000B6488">
      <w:pPr>
        <w:spacing w:after="0" w:line="480" w:lineRule="auto"/>
        <w:rPr>
          <w:rFonts w:ascii="Times New Roman" w:hAnsi="Times New Roman" w:cs="Times New Roman"/>
          <w:sz w:val="24"/>
          <w:szCs w:val="24"/>
        </w:rPr>
      </w:pPr>
      <w:r w:rsidRPr="000B6488">
        <w:rPr>
          <w:rFonts w:ascii="Times New Roman" w:hAnsi="Times New Roman" w:cs="Times New Roman"/>
          <w:sz w:val="24"/>
          <w:szCs w:val="24"/>
        </w:rPr>
        <w:tab/>
        <w:t xml:space="preserve">This rule is meant to protect defendants against incriminating statements made by their codefendants. The US law holds that if one defendant makes a facially incriminating statement </w:t>
      </w:r>
      <w:r w:rsidRPr="000B6488">
        <w:rPr>
          <w:rFonts w:ascii="Times New Roman" w:hAnsi="Times New Roman" w:cs="Times New Roman"/>
          <w:sz w:val="24"/>
          <w:szCs w:val="24"/>
        </w:rPr>
        <w:lastRenderedPageBreak/>
        <w:t xml:space="preserve">regarding another defendant by name, then this confession can be useful in incriminating the second defendant. </w:t>
      </w:r>
      <w:r w:rsidR="00AA31C0" w:rsidRPr="000B6488">
        <w:rPr>
          <w:rFonts w:ascii="Times New Roman" w:hAnsi="Times New Roman" w:cs="Times New Roman"/>
          <w:sz w:val="24"/>
          <w:szCs w:val="24"/>
        </w:rPr>
        <w:t xml:space="preserve">The </w:t>
      </w:r>
      <w:proofErr w:type="spellStart"/>
      <w:r w:rsidR="00AA31C0" w:rsidRPr="000B6488">
        <w:rPr>
          <w:rFonts w:ascii="Times New Roman" w:hAnsi="Times New Roman" w:cs="Times New Roman"/>
          <w:sz w:val="24"/>
          <w:szCs w:val="24"/>
        </w:rPr>
        <w:t>Brutton</w:t>
      </w:r>
      <w:proofErr w:type="spellEnd"/>
      <w:r w:rsidR="00AA31C0" w:rsidRPr="000B6488">
        <w:rPr>
          <w:rFonts w:ascii="Times New Roman" w:hAnsi="Times New Roman" w:cs="Times New Roman"/>
          <w:sz w:val="24"/>
          <w:szCs w:val="24"/>
        </w:rPr>
        <w:t xml:space="preserve"> rule requires the second defendant to have a chance to cross-examine the incriminating confession given by the first defendant before these confession can be used as evidence against the second defendant</w:t>
      </w:r>
      <w:r w:rsidR="00B16EBA" w:rsidRPr="000B6488">
        <w:rPr>
          <w:rFonts w:ascii="Times New Roman" w:hAnsi="Times New Roman" w:cs="Times New Roman"/>
          <w:sz w:val="24"/>
          <w:szCs w:val="24"/>
        </w:rPr>
        <w:t xml:space="preserve"> (Gardner &amp; Anderson, 2016)</w:t>
      </w:r>
      <w:r w:rsidR="00AA31C0" w:rsidRPr="000B6488">
        <w:rPr>
          <w:rFonts w:ascii="Times New Roman" w:hAnsi="Times New Roman" w:cs="Times New Roman"/>
          <w:sz w:val="24"/>
          <w:szCs w:val="24"/>
        </w:rPr>
        <w:t xml:space="preserve">. </w:t>
      </w:r>
      <w:r w:rsidR="004B122E" w:rsidRPr="000B6488">
        <w:rPr>
          <w:rFonts w:ascii="Times New Roman" w:hAnsi="Times New Roman" w:cs="Times New Roman"/>
          <w:sz w:val="24"/>
          <w:szCs w:val="24"/>
        </w:rPr>
        <w:t xml:space="preserve">In this scenario, the defendant with a confession to make is often offered the chance to become a state victim to incriminate the other defendants in exchange for a lesser charge. In </w:t>
      </w:r>
      <w:r w:rsidR="00857DB0">
        <w:rPr>
          <w:rFonts w:ascii="Times New Roman" w:hAnsi="Times New Roman" w:cs="Times New Roman"/>
          <w:sz w:val="24"/>
          <w:szCs w:val="24"/>
        </w:rPr>
        <w:t xml:space="preserve">a </w:t>
      </w:r>
      <w:r w:rsidR="004B122E" w:rsidRPr="000B6488">
        <w:rPr>
          <w:rFonts w:ascii="Times New Roman" w:hAnsi="Times New Roman" w:cs="Times New Roman"/>
          <w:sz w:val="24"/>
          <w:szCs w:val="24"/>
        </w:rPr>
        <w:t xml:space="preserve">case where this confession is the most important piece of evidence in incriminating the entire group, the first defendant’s unwillingness to support the prosecution by confessing causes the prosecution to drop all presumed charges for the other defendants and proceed with trying the uncooperative defendant. </w:t>
      </w:r>
    </w:p>
    <w:p w:rsidR="009D3DBC" w:rsidRPr="000B6488" w:rsidRDefault="009D3DBC" w:rsidP="000B6488">
      <w:pPr>
        <w:spacing w:after="0" w:line="480" w:lineRule="auto"/>
        <w:jc w:val="center"/>
        <w:rPr>
          <w:rFonts w:ascii="Times New Roman" w:hAnsi="Times New Roman" w:cs="Times New Roman"/>
          <w:b/>
          <w:sz w:val="24"/>
          <w:szCs w:val="24"/>
        </w:rPr>
      </w:pPr>
      <w:r w:rsidRPr="000B6488">
        <w:rPr>
          <w:rFonts w:ascii="Times New Roman" w:hAnsi="Times New Roman" w:cs="Times New Roman"/>
          <w:b/>
          <w:sz w:val="24"/>
          <w:szCs w:val="24"/>
        </w:rPr>
        <w:t>Polygraph Tests and Voice Stress Analyzers</w:t>
      </w:r>
    </w:p>
    <w:p w:rsidR="003D25F1" w:rsidRPr="000B6488" w:rsidRDefault="009D3DBC" w:rsidP="000B6488">
      <w:pPr>
        <w:spacing w:after="0" w:line="480" w:lineRule="auto"/>
        <w:rPr>
          <w:rFonts w:ascii="Times New Roman" w:hAnsi="Times New Roman" w:cs="Times New Roman"/>
          <w:sz w:val="24"/>
          <w:szCs w:val="24"/>
        </w:rPr>
      </w:pPr>
      <w:r w:rsidRPr="000B6488">
        <w:rPr>
          <w:rFonts w:ascii="Times New Roman" w:hAnsi="Times New Roman" w:cs="Times New Roman"/>
          <w:sz w:val="24"/>
          <w:szCs w:val="24"/>
        </w:rPr>
        <w:tab/>
        <w:t xml:space="preserve">While these technologies are important in </w:t>
      </w:r>
      <w:r w:rsidR="00B76BEB">
        <w:rPr>
          <w:rFonts w:ascii="Times New Roman" w:hAnsi="Times New Roman" w:cs="Times New Roman"/>
          <w:sz w:val="24"/>
          <w:szCs w:val="24"/>
        </w:rPr>
        <w:t xml:space="preserve">the </w:t>
      </w:r>
      <w:r w:rsidRPr="000B6488">
        <w:rPr>
          <w:rFonts w:ascii="Times New Roman" w:hAnsi="Times New Roman" w:cs="Times New Roman"/>
          <w:sz w:val="24"/>
          <w:szCs w:val="24"/>
        </w:rPr>
        <w:t>collection of evidence in criminal cases, they are not useful with confessions. For instance, ordering a defendant to take a voice stress analysis or a lie det</w:t>
      </w:r>
      <w:r w:rsidR="00B76BEB">
        <w:rPr>
          <w:rFonts w:ascii="Times New Roman" w:hAnsi="Times New Roman" w:cs="Times New Roman"/>
          <w:sz w:val="24"/>
          <w:szCs w:val="24"/>
        </w:rPr>
        <w:t xml:space="preserve">ecting polygraph test equals </w:t>
      </w:r>
      <w:r w:rsidRPr="000B6488">
        <w:rPr>
          <w:rFonts w:ascii="Times New Roman" w:hAnsi="Times New Roman" w:cs="Times New Roman"/>
          <w:sz w:val="24"/>
          <w:szCs w:val="24"/>
        </w:rPr>
        <w:t>violating their privilege against self-incrimination</w:t>
      </w:r>
      <w:r w:rsidR="00B16EBA" w:rsidRPr="000B6488">
        <w:rPr>
          <w:rFonts w:ascii="Times New Roman" w:hAnsi="Times New Roman" w:cs="Times New Roman"/>
          <w:sz w:val="24"/>
          <w:szCs w:val="24"/>
        </w:rPr>
        <w:t xml:space="preserve"> (Gardner &amp; Anderson, 2016)</w:t>
      </w:r>
      <w:r w:rsidRPr="000B6488">
        <w:rPr>
          <w:rFonts w:ascii="Times New Roman" w:hAnsi="Times New Roman" w:cs="Times New Roman"/>
          <w:sz w:val="24"/>
          <w:szCs w:val="24"/>
        </w:rPr>
        <w:t xml:space="preserve">. </w:t>
      </w:r>
      <w:r w:rsidR="007B21AC" w:rsidRPr="000B6488">
        <w:rPr>
          <w:rFonts w:ascii="Times New Roman" w:hAnsi="Times New Roman" w:cs="Times New Roman"/>
          <w:sz w:val="24"/>
          <w:szCs w:val="24"/>
        </w:rPr>
        <w:t xml:space="preserve">In essence, positive test results will convict the person hence creating a situation where the defendant would have incriminated themselves. </w:t>
      </w:r>
      <w:r w:rsidR="00DF7AF0" w:rsidRPr="000B6488">
        <w:rPr>
          <w:rFonts w:ascii="Times New Roman" w:hAnsi="Times New Roman" w:cs="Times New Roman"/>
          <w:sz w:val="24"/>
          <w:szCs w:val="24"/>
        </w:rPr>
        <w:t xml:space="preserve">On the other side, a convict does not also have the right to take a voice analysis or a lie detection test to prove their innocence. </w:t>
      </w:r>
    </w:p>
    <w:p w:rsidR="003D25F1" w:rsidRPr="000B6488" w:rsidRDefault="003D25F1" w:rsidP="000B6488">
      <w:pPr>
        <w:spacing w:line="480" w:lineRule="auto"/>
        <w:rPr>
          <w:rFonts w:ascii="Times New Roman" w:hAnsi="Times New Roman" w:cs="Times New Roman"/>
          <w:sz w:val="24"/>
          <w:szCs w:val="24"/>
        </w:rPr>
      </w:pPr>
      <w:r w:rsidRPr="000B6488">
        <w:rPr>
          <w:rFonts w:ascii="Times New Roman" w:hAnsi="Times New Roman" w:cs="Times New Roman"/>
          <w:sz w:val="24"/>
          <w:szCs w:val="24"/>
        </w:rPr>
        <w:br w:type="page"/>
      </w:r>
    </w:p>
    <w:p w:rsidR="009D3DBC" w:rsidRPr="000B6488" w:rsidRDefault="003D25F1" w:rsidP="000B6488">
      <w:pPr>
        <w:spacing w:after="0" w:line="480" w:lineRule="auto"/>
        <w:jc w:val="center"/>
        <w:rPr>
          <w:rFonts w:ascii="Times New Roman" w:hAnsi="Times New Roman" w:cs="Times New Roman"/>
          <w:sz w:val="24"/>
          <w:szCs w:val="24"/>
        </w:rPr>
      </w:pPr>
      <w:r w:rsidRPr="000B6488">
        <w:rPr>
          <w:rFonts w:ascii="Times New Roman" w:hAnsi="Times New Roman" w:cs="Times New Roman"/>
          <w:sz w:val="24"/>
          <w:szCs w:val="24"/>
        </w:rPr>
        <w:lastRenderedPageBreak/>
        <w:t xml:space="preserve">References </w:t>
      </w:r>
    </w:p>
    <w:p w:rsidR="000B6488" w:rsidRPr="000B6488" w:rsidRDefault="000B6488" w:rsidP="000B6488">
      <w:pPr>
        <w:spacing w:after="0" w:line="480" w:lineRule="auto"/>
        <w:ind w:left="720" w:hanging="720"/>
        <w:rPr>
          <w:rFonts w:ascii="Times New Roman" w:hAnsi="Times New Roman" w:cs="Times New Roman"/>
          <w:sz w:val="24"/>
          <w:szCs w:val="24"/>
        </w:rPr>
      </w:pPr>
      <w:r w:rsidRPr="000B6488">
        <w:rPr>
          <w:rFonts w:ascii="Times New Roman" w:hAnsi="Times New Roman" w:cs="Times New Roman"/>
          <w:sz w:val="24"/>
          <w:szCs w:val="24"/>
        </w:rPr>
        <w:t xml:space="preserve">Gardner, T. J., &amp; Anderson, T. M. (2016). </w:t>
      </w:r>
      <w:r w:rsidRPr="000B6488">
        <w:rPr>
          <w:rFonts w:ascii="Times New Roman" w:hAnsi="Times New Roman" w:cs="Times New Roman"/>
          <w:i/>
          <w:iCs/>
          <w:sz w:val="24"/>
          <w:szCs w:val="24"/>
        </w:rPr>
        <w:t xml:space="preserve">Criminal evidence: Principles and cases. </w:t>
      </w:r>
      <w:r w:rsidRPr="000B6488">
        <w:rPr>
          <w:rFonts w:ascii="Times New Roman" w:hAnsi="Times New Roman" w:cs="Times New Roman"/>
          <w:sz w:val="24"/>
          <w:szCs w:val="24"/>
        </w:rPr>
        <w:t xml:space="preserve">Boston, MA, </w:t>
      </w:r>
      <w:proofErr w:type="gramStart"/>
      <w:r w:rsidRPr="000B6488">
        <w:rPr>
          <w:rFonts w:ascii="Times New Roman" w:hAnsi="Times New Roman" w:cs="Times New Roman"/>
          <w:sz w:val="24"/>
          <w:szCs w:val="24"/>
        </w:rPr>
        <w:t>USA :</w:t>
      </w:r>
      <w:proofErr w:type="gramEnd"/>
      <w:r w:rsidRPr="000B6488">
        <w:rPr>
          <w:rFonts w:ascii="Times New Roman" w:hAnsi="Times New Roman" w:cs="Times New Roman"/>
          <w:sz w:val="24"/>
          <w:szCs w:val="24"/>
        </w:rPr>
        <w:t xml:space="preserve"> Cengage Learning</w:t>
      </w:r>
    </w:p>
    <w:p w:rsidR="000B6488" w:rsidRPr="008C561C" w:rsidRDefault="000B6488" w:rsidP="000B6488">
      <w:pPr>
        <w:spacing w:after="0" w:line="480" w:lineRule="auto"/>
        <w:ind w:left="720" w:hanging="720"/>
        <w:rPr>
          <w:rFonts w:ascii="Times New Roman" w:eastAsia="Times New Roman" w:hAnsi="Times New Roman" w:cs="Times New Roman"/>
          <w:sz w:val="24"/>
          <w:szCs w:val="24"/>
        </w:rPr>
      </w:pPr>
      <w:r w:rsidRPr="008C561C">
        <w:rPr>
          <w:rFonts w:ascii="Times New Roman" w:eastAsia="Times New Roman" w:hAnsi="Times New Roman" w:cs="Times New Roman"/>
          <w:sz w:val="24"/>
          <w:szCs w:val="24"/>
        </w:rPr>
        <w:t xml:space="preserve">Johnson, J. D. (2004). State v. </w:t>
      </w:r>
      <w:proofErr w:type="spellStart"/>
      <w:r w:rsidRPr="008C561C">
        <w:rPr>
          <w:rFonts w:ascii="Times New Roman" w:eastAsia="Times New Roman" w:hAnsi="Times New Roman" w:cs="Times New Roman"/>
          <w:sz w:val="24"/>
          <w:szCs w:val="24"/>
        </w:rPr>
        <w:t>Reesman</w:t>
      </w:r>
      <w:proofErr w:type="spellEnd"/>
      <w:r w:rsidRPr="008C561C">
        <w:rPr>
          <w:rFonts w:ascii="Times New Roman" w:eastAsia="Times New Roman" w:hAnsi="Times New Roman" w:cs="Times New Roman"/>
          <w:sz w:val="24"/>
          <w:szCs w:val="24"/>
        </w:rPr>
        <w:t xml:space="preserve">: Totality of the Circumstances or a Recipe for Mulligan Stew. </w:t>
      </w:r>
      <w:r w:rsidRPr="008C561C">
        <w:rPr>
          <w:rFonts w:ascii="Times New Roman" w:eastAsia="Times New Roman" w:hAnsi="Times New Roman" w:cs="Times New Roman"/>
          <w:i/>
          <w:iCs/>
          <w:sz w:val="24"/>
          <w:szCs w:val="24"/>
        </w:rPr>
        <w:t>Mont. L. Rev.</w:t>
      </w:r>
      <w:r w:rsidRPr="008C561C">
        <w:rPr>
          <w:rFonts w:ascii="Times New Roman" w:eastAsia="Times New Roman" w:hAnsi="Times New Roman" w:cs="Times New Roman"/>
          <w:sz w:val="24"/>
          <w:szCs w:val="24"/>
        </w:rPr>
        <w:t xml:space="preserve">, </w:t>
      </w:r>
      <w:r w:rsidRPr="008C561C">
        <w:rPr>
          <w:rFonts w:ascii="Times New Roman" w:eastAsia="Times New Roman" w:hAnsi="Times New Roman" w:cs="Times New Roman"/>
          <w:i/>
          <w:iCs/>
          <w:sz w:val="24"/>
          <w:szCs w:val="24"/>
        </w:rPr>
        <w:t>65</w:t>
      </w:r>
      <w:r w:rsidRPr="008C561C">
        <w:rPr>
          <w:rFonts w:ascii="Times New Roman" w:eastAsia="Times New Roman" w:hAnsi="Times New Roman" w:cs="Times New Roman"/>
          <w:sz w:val="24"/>
          <w:szCs w:val="24"/>
        </w:rPr>
        <w:t>, 159.</w:t>
      </w:r>
    </w:p>
    <w:p w:rsidR="000B6488" w:rsidRPr="000B6488" w:rsidRDefault="000B6488" w:rsidP="000B6488">
      <w:pPr>
        <w:spacing w:after="0" w:line="480" w:lineRule="auto"/>
        <w:ind w:left="720" w:hanging="720"/>
        <w:rPr>
          <w:rFonts w:ascii="Times New Roman" w:hAnsi="Times New Roman" w:cs="Times New Roman"/>
          <w:sz w:val="24"/>
          <w:szCs w:val="24"/>
        </w:rPr>
      </w:pPr>
      <w:r w:rsidRPr="00847ECB">
        <w:rPr>
          <w:rFonts w:ascii="Times New Roman" w:eastAsia="Times New Roman" w:hAnsi="Times New Roman" w:cs="Times New Roman"/>
          <w:sz w:val="24"/>
          <w:szCs w:val="24"/>
        </w:rPr>
        <w:t xml:space="preserve">Lewis, R. R. (2016). A Common Sense Understanding of Inevitable Discovery: Why Nix v. Williams Does Not Require Active Pursuit in the Application of the Inevitable Discovery Doctrine. </w:t>
      </w:r>
      <w:r w:rsidRPr="00847ECB">
        <w:rPr>
          <w:rFonts w:ascii="Times New Roman" w:eastAsia="Times New Roman" w:hAnsi="Times New Roman" w:cs="Times New Roman"/>
          <w:i/>
          <w:iCs/>
          <w:sz w:val="24"/>
          <w:szCs w:val="24"/>
        </w:rPr>
        <w:t>Miss. LJ</w:t>
      </w:r>
      <w:r w:rsidRPr="00847ECB">
        <w:rPr>
          <w:rFonts w:ascii="Times New Roman" w:eastAsia="Times New Roman" w:hAnsi="Times New Roman" w:cs="Times New Roman"/>
          <w:sz w:val="24"/>
          <w:szCs w:val="24"/>
        </w:rPr>
        <w:t xml:space="preserve">, </w:t>
      </w:r>
      <w:r w:rsidRPr="00847ECB">
        <w:rPr>
          <w:rFonts w:ascii="Times New Roman" w:eastAsia="Times New Roman" w:hAnsi="Times New Roman" w:cs="Times New Roman"/>
          <w:i/>
          <w:iCs/>
          <w:sz w:val="24"/>
          <w:szCs w:val="24"/>
        </w:rPr>
        <w:t>85</w:t>
      </w:r>
      <w:r w:rsidRPr="00847ECB">
        <w:rPr>
          <w:rFonts w:ascii="Times New Roman" w:eastAsia="Times New Roman" w:hAnsi="Times New Roman" w:cs="Times New Roman"/>
          <w:sz w:val="24"/>
          <w:szCs w:val="24"/>
        </w:rPr>
        <w:t>, 1691.</w:t>
      </w:r>
      <w:r w:rsidRPr="000B6488">
        <w:rPr>
          <w:rFonts w:ascii="Times New Roman" w:eastAsia="Times New Roman" w:hAnsi="Times New Roman" w:cs="Times New Roman"/>
          <w:sz w:val="24"/>
          <w:szCs w:val="24"/>
        </w:rPr>
        <w:t xml:space="preserve"> </w:t>
      </w:r>
      <w:hyperlink r:id="rId6" w:tgtFrame="_blank" w:history="1">
        <w:r w:rsidRPr="000B6488">
          <w:rPr>
            <w:rStyle w:val="Hyperlink"/>
            <w:rFonts w:ascii="Times New Roman" w:hAnsi="Times New Roman" w:cs="Times New Roman"/>
            <w:sz w:val="24"/>
            <w:szCs w:val="24"/>
          </w:rPr>
          <w:t xml:space="preserve">http://dx.doi.org/10.2139/ssrn.2715196 </w:t>
        </w:r>
      </w:hyperlink>
    </w:p>
    <w:p w:rsidR="000B6488" w:rsidRPr="008C561C" w:rsidRDefault="000B6488" w:rsidP="000B6488">
      <w:pPr>
        <w:spacing w:after="0" w:line="480" w:lineRule="auto"/>
        <w:ind w:left="720" w:hanging="720"/>
        <w:rPr>
          <w:rFonts w:ascii="Times New Roman" w:eastAsia="Times New Roman" w:hAnsi="Times New Roman" w:cs="Times New Roman"/>
          <w:sz w:val="24"/>
          <w:szCs w:val="24"/>
        </w:rPr>
      </w:pPr>
      <w:proofErr w:type="spellStart"/>
      <w:r w:rsidRPr="008C561C">
        <w:rPr>
          <w:rFonts w:ascii="Times New Roman" w:eastAsia="Times New Roman" w:hAnsi="Times New Roman" w:cs="Times New Roman"/>
          <w:sz w:val="24"/>
          <w:szCs w:val="24"/>
        </w:rPr>
        <w:t>Maoz</w:t>
      </w:r>
      <w:proofErr w:type="spellEnd"/>
      <w:r w:rsidRPr="008C561C">
        <w:rPr>
          <w:rFonts w:ascii="Times New Roman" w:eastAsia="Times New Roman" w:hAnsi="Times New Roman" w:cs="Times New Roman"/>
          <w:sz w:val="24"/>
          <w:szCs w:val="24"/>
        </w:rPr>
        <w:t xml:space="preserve">, A. (2011). Empty Promises: Miranda Warnings in Noncustodial Interrogations. </w:t>
      </w:r>
      <w:r w:rsidRPr="008C561C">
        <w:rPr>
          <w:rFonts w:ascii="Times New Roman" w:eastAsia="Times New Roman" w:hAnsi="Times New Roman" w:cs="Times New Roman"/>
          <w:i/>
          <w:iCs/>
          <w:sz w:val="24"/>
          <w:szCs w:val="24"/>
        </w:rPr>
        <w:t>Mich. L. Rev.</w:t>
      </w:r>
      <w:r w:rsidRPr="008C561C">
        <w:rPr>
          <w:rFonts w:ascii="Times New Roman" w:eastAsia="Times New Roman" w:hAnsi="Times New Roman" w:cs="Times New Roman"/>
          <w:sz w:val="24"/>
          <w:szCs w:val="24"/>
        </w:rPr>
        <w:t xml:space="preserve">, </w:t>
      </w:r>
      <w:r w:rsidRPr="008C561C">
        <w:rPr>
          <w:rFonts w:ascii="Times New Roman" w:eastAsia="Times New Roman" w:hAnsi="Times New Roman" w:cs="Times New Roman"/>
          <w:i/>
          <w:iCs/>
          <w:sz w:val="24"/>
          <w:szCs w:val="24"/>
        </w:rPr>
        <w:t>110</w:t>
      </w:r>
      <w:r w:rsidRPr="008C561C">
        <w:rPr>
          <w:rFonts w:ascii="Times New Roman" w:eastAsia="Times New Roman" w:hAnsi="Times New Roman" w:cs="Times New Roman"/>
          <w:sz w:val="24"/>
          <w:szCs w:val="24"/>
        </w:rPr>
        <w:t>, 1309.</w:t>
      </w:r>
    </w:p>
    <w:p w:rsidR="000B6488" w:rsidRPr="00B745CA" w:rsidRDefault="000B6488" w:rsidP="000B6488">
      <w:pPr>
        <w:spacing w:after="0" w:line="480" w:lineRule="auto"/>
        <w:ind w:left="720" w:hanging="720"/>
        <w:rPr>
          <w:rFonts w:ascii="Times New Roman" w:eastAsia="Times New Roman" w:hAnsi="Times New Roman" w:cs="Times New Roman"/>
          <w:sz w:val="24"/>
          <w:szCs w:val="24"/>
        </w:rPr>
      </w:pPr>
      <w:r w:rsidRPr="00B745CA">
        <w:rPr>
          <w:rFonts w:ascii="Times New Roman" w:eastAsia="Times New Roman" w:hAnsi="Times New Roman" w:cs="Times New Roman"/>
          <w:sz w:val="24"/>
          <w:szCs w:val="24"/>
        </w:rPr>
        <w:t xml:space="preserve">Marcus, P. (2005). It's not just about Miranda: Determining the voluntariness of confessions in criminal prosecutions. </w:t>
      </w:r>
      <w:r w:rsidRPr="00B745CA">
        <w:rPr>
          <w:rFonts w:ascii="Times New Roman" w:eastAsia="Times New Roman" w:hAnsi="Times New Roman" w:cs="Times New Roman"/>
          <w:i/>
          <w:iCs/>
          <w:sz w:val="24"/>
          <w:szCs w:val="24"/>
        </w:rPr>
        <w:t>Val. UL Rev.</w:t>
      </w:r>
      <w:r w:rsidRPr="00B745CA">
        <w:rPr>
          <w:rFonts w:ascii="Times New Roman" w:eastAsia="Times New Roman" w:hAnsi="Times New Roman" w:cs="Times New Roman"/>
          <w:sz w:val="24"/>
          <w:szCs w:val="24"/>
        </w:rPr>
        <w:t xml:space="preserve">, </w:t>
      </w:r>
      <w:r w:rsidRPr="00B745CA">
        <w:rPr>
          <w:rFonts w:ascii="Times New Roman" w:eastAsia="Times New Roman" w:hAnsi="Times New Roman" w:cs="Times New Roman"/>
          <w:i/>
          <w:iCs/>
          <w:sz w:val="24"/>
          <w:szCs w:val="24"/>
        </w:rPr>
        <w:t>40</w:t>
      </w:r>
      <w:r w:rsidRPr="00B745CA">
        <w:rPr>
          <w:rFonts w:ascii="Times New Roman" w:eastAsia="Times New Roman" w:hAnsi="Times New Roman" w:cs="Times New Roman"/>
          <w:sz w:val="24"/>
          <w:szCs w:val="24"/>
        </w:rPr>
        <w:t>, 601.</w:t>
      </w:r>
    </w:p>
    <w:p w:rsidR="000B6488" w:rsidRPr="000B6488" w:rsidRDefault="000B6488" w:rsidP="000B6488">
      <w:pPr>
        <w:spacing w:after="0" w:line="480" w:lineRule="auto"/>
        <w:ind w:left="720" w:hanging="720"/>
        <w:rPr>
          <w:rFonts w:ascii="Times New Roman" w:hAnsi="Times New Roman" w:cs="Times New Roman"/>
          <w:sz w:val="24"/>
          <w:szCs w:val="24"/>
        </w:rPr>
      </w:pPr>
      <w:proofErr w:type="spellStart"/>
      <w:r w:rsidRPr="000B6488">
        <w:rPr>
          <w:rFonts w:ascii="Times New Roman" w:hAnsi="Times New Roman" w:cs="Times New Roman"/>
          <w:sz w:val="24"/>
          <w:szCs w:val="24"/>
        </w:rPr>
        <w:t>Najdowski</w:t>
      </w:r>
      <w:proofErr w:type="spellEnd"/>
      <w:r w:rsidRPr="000B6488">
        <w:rPr>
          <w:rFonts w:ascii="Times New Roman" w:hAnsi="Times New Roman" w:cs="Times New Roman"/>
          <w:sz w:val="24"/>
          <w:szCs w:val="24"/>
        </w:rPr>
        <w:t xml:space="preserve">, C. J., &amp; </w:t>
      </w:r>
      <w:proofErr w:type="spellStart"/>
      <w:r w:rsidRPr="000B6488">
        <w:rPr>
          <w:rFonts w:ascii="Times New Roman" w:hAnsi="Times New Roman" w:cs="Times New Roman"/>
          <w:sz w:val="24"/>
          <w:szCs w:val="24"/>
        </w:rPr>
        <w:t>Bonventre</w:t>
      </w:r>
      <w:proofErr w:type="spellEnd"/>
      <w:r w:rsidRPr="000B6488">
        <w:rPr>
          <w:rFonts w:ascii="Times New Roman" w:hAnsi="Times New Roman" w:cs="Times New Roman"/>
          <w:sz w:val="24"/>
          <w:szCs w:val="24"/>
        </w:rPr>
        <w:t xml:space="preserve">, C. L. (2014). Deception in the Interrogation room. </w:t>
      </w:r>
      <w:r w:rsidRPr="000B6488">
        <w:rPr>
          <w:rFonts w:ascii="Times New Roman" w:hAnsi="Times New Roman" w:cs="Times New Roman"/>
          <w:i/>
          <w:sz w:val="24"/>
          <w:szCs w:val="24"/>
        </w:rPr>
        <w:t>Judicial Notebook, 45</w:t>
      </w:r>
      <w:r w:rsidRPr="000B6488">
        <w:rPr>
          <w:rFonts w:ascii="Times New Roman" w:hAnsi="Times New Roman" w:cs="Times New Roman"/>
          <w:sz w:val="24"/>
          <w:szCs w:val="24"/>
        </w:rPr>
        <w:t xml:space="preserve">(4), 26. </w:t>
      </w:r>
    </w:p>
    <w:p w:rsidR="000B6488" w:rsidRPr="008C561C" w:rsidRDefault="000B6488" w:rsidP="000B6488">
      <w:pPr>
        <w:spacing w:after="0" w:line="480" w:lineRule="auto"/>
        <w:ind w:left="720" w:hanging="720"/>
        <w:rPr>
          <w:rFonts w:ascii="Times New Roman" w:eastAsia="Times New Roman" w:hAnsi="Times New Roman" w:cs="Times New Roman"/>
          <w:sz w:val="24"/>
          <w:szCs w:val="24"/>
        </w:rPr>
      </w:pPr>
      <w:r w:rsidRPr="008C561C">
        <w:rPr>
          <w:rFonts w:ascii="Times New Roman" w:eastAsia="Times New Roman" w:hAnsi="Times New Roman" w:cs="Times New Roman"/>
          <w:sz w:val="24"/>
          <w:szCs w:val="24"/>
        </w:rPr>
        <w:t xml:space="preserve">Primus, E. B. (2015). The future of confession law: Toward rules for the voluntariness test. </w:t>
      </w:r>
      <w:r w:rsidRPr="008C561C">
        <w:rPr>
          <w:rFonts w:ascii="Times New Roman" w:eastAsia="Times New Roman" w:hAnsi="Times New Roman" w:cs="Times New Roman"/>
          <w:i/>
          <w:iCs/>
          <w:sz w:val="24"/>
          <w:szCs w:val="24"/>
        </w:rPr>
        <w:t>Mich. L. Rev.</w:t>
      </w:r>
      <w:r w:rsidRPr="008C561C">
        <w:rPr>
          <w:rFonts w:ascii="Times New Roman" w:eastAsia="Times New Roman" w:hAnsi="Times New Roman" w:cs="Times New Roman"/>
          <w:sz w:val="24"/>
          <w:szCs w:val="24"/>
        </w:rPr>
        <w:t xml:space="preserve">, </w:t>
      </w:r>
      <w:r w:rsidRPr="008C561C">
        <w:rPr>
          <w:rFonts w:ascii="Times New Roman" w:eastAsia="Times New Roman" w:hAnsi="Times New Roman" w:cs="Times New Roman"/>
          <w:i/>
          <w:iCs/>
          <w:sz w:val="24"/>
          <w:szCs w:val="24"/>
        </w:rPr>
        <w:t>114</w:t>
      </w:r>
      <w:r w:rsidRPr="008C561C">
        <w:rPr>
          <w:rFonts w:ascii="Times New Roman" w:eastAsia="Times New Roman" w:hAnsi="Times New Roman" w:cs="Times New Roman"/>
          <w:sz w:val="24"/>
          <w:szCs w:val="24"/>
        </w:rPr>
        <w:t>, 1.</w:t>
      </w:r>
    </w:p>
    <w:p w:rsidR="000B6488" w:rsidRPr="00B745CA" w:rsidRDefault="000B6488" w:rsidP="000B6488">
      <w:pPr>
        <w:spacing w:after="0" w:line="480" w:lineRule="auto"/>
        <w:ind w:left="720" w:hanging="720"/>
        <w:rPr>
          <w:rFonts w:ascii="Times New Roman" w:eastAsia="Times New Roman" w:hAnsi="Times New Roman" w:cs="Times New Roman"/>
          <w:sz w:val="24"/>
          <w:szCs w:val="24"/>
        </w:rPr>
      </w:pPr>
      <w:r w:rsidRPr="00B745CA">
        <w:rPr>
          <w:rFonts w:ascii="Times New Roman" w:eastAsia="Times New Roman" w:hAnsi="Times New Roman" w:cs="Times New Roman"/>
          <w:sz w:val="24"/>
          <w:szCs w:val="24"/>
        </w:rPr>
        <w:t>Siegel, J. T. (2016). Confessions in an International Age: Re-</w:t>
      </w:r>
      <w:proofErr w:type="spellStart"/>
      <w:r w:rsidRPr="00B745CA">
        <w:rPr>
          <w:rFonts w:ascii="Times New Roman" w:eastAsia="Times New Roman" w:hAnsi="Times New Roman" w:cs="Times New Roman"/>
          <w:sz w:val="24"/>
          <w:szCs w:val="24"/>
        </w:rPr>
        <w:t>Examing</w:t>
      </w:r>
      <w:proofErr w:type="spellEnd"/>
      <w:r w:rsidRPr="00B745CA">
        <w:rPr>
          <w:rFonts w:ascii="Times New Roman" w:eastAsia="Times New Roman" w:hAnsi="Times New Roman" w:cs="Times New Roman"/>
          <w:sz w:val="24"/>
          <w:szCs w:val="24"/>
        </w:rPr>
        <w:t xml:space="preserve"> </w:t>
      </w:r>
      <w:proofErr w:type="spellStart"/>
      <w:r w:rsidRPr="00B745CA">
        <w:rPr>
          <w:rFonts w:ascii="Times New Roman" w:eastAsia="Times New Roman" w:hAnsi="Times New Roman" w:cs="Times New Roman"/>
          <w:sz w:val="24"/>
          <w:szCs w:val="24"/>
        </w:rPr>
        <w:t>Admissability</w:t>
      </w:r>
      <w:proofErr w:type="spellEnd"/>
      <w:r w:rsidRPr="00B745CA">
        <w:rPr>
          <w:rFonts w:ascii="Times New Roman" w:eastAsia="Times New Roman" w:hAnsi="Times New Roman" w:cs="Times New Roman"/>
          <w:sz w:val="24"/>
          <w:szCs w:val="24"/>
        </w:rPr>
        <w:t xml:space="preserve"> through the Lens of Foreign Interrogations. </w:t>
      </w:r>
      <w:r w:rsidRPr="00B745CA">
        <w:rPr>
          <w:rFonts w:ascii="Times New Roman" w:eastAsia="Times New Roman" w:hAnsi="Times New Roman" w:cs="Times New Roman"/>
          <w:i/>
          <w:iCs/>
          <w:sz w:val="24"/>
          <w:szCs w:val="24"/>
        </w:rPr>
        <w:t>Mich. L. Rev.</w:t>
      </w:r>
      <w:r w:rsidRPr="00B745CA">
        <w:rPr>
          <w:rFonts w:ascii="Times New Roman" w:eastAsia="Times New Roman" w:hAnsi="Times New Roman" w:cs="Times New Roman"/>
          <w:sz w:val="24"/>
          <w:szCs w:val="24"/>
        </w:rPr>
        <w:t xml:space="preserve">, </w:t>
      </w:r>
      <w:r w:rsidRPr="00B745CA">
        <w:rPr>
          <w:rFonts w:ascii="Times New Roman" w:eastAsia="Times New Roman" w:hAnsi="Times New Roman" w:cs="Times New Roman"/>
          <w:i/>
          <w:iCs/>
          <w:sz w:val="24"/>
          <w:szCs w:val="24"/>
        </w:rPr>
        <w:t>115</w:t>
      </w:r>
      <w:r w:rsidRPr="00B745CA">
        <w:rPr>
          <w:rFonts w:ascii="Times New Roman" w:eastAsia="Times New Roman" w:hAnsi="Times New Roman" w:cs="Times New Roman"/>
          <w:sz w:val="24"/>
          <w:szCs w:val="24"/>
        </w:rPr>
        <w:t>, 277.</w:t>
      </w:r>
    </w:p>
    <w:sectPr w:rsidR="000B6488" w:rsidRPr="00B745CA" w:rsidSect="003D25F1">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86695" w:rsidRDefault="00E86695" w:rsidP="003D25F1">
      <w:pPr>
        <w:spacing w:after="0" w:line="240" w:lineRule="auto"/>
      </w:pPr>
      <w:r>
        <w:separator/>
      </w:r>
    </w:p>
  </w:endnote>
  <w:endnote w:type="continuationSeparator" w:id="0">
    <w:p w:rsidR="00E86695" w:rsidRDefault="00E86695" w:rsidP="003D25F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86695" w:rsidRDefault="00E86695" w:rsidP="003D25F1">
      <w:pPr>
        <w:spacing w:after="0" w:line="240" w:lineRule="auto"/>
      </w:pPr>
      <w:r>
        <w:separator/>
      </w:r>
    </w:p>
  </w:footnote>
  <w:footnote w:type="continuationSeparator" w:id="0">
    <w:p w:rsidR="00E86695" w:rsidRDefault="00E86695" w:rsidP="003D25F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5980947"/>
      <w:docPartObj>
        <w:docPartGallery w:val="Page Numbers (Top of Page)"/>
        <w:docPartUnique/>
      </w:docPartObj>
    </w:sdtPr>
    <w:sdtEndPr>
      <w:rPr>
        <w:rFonts w:ascii="Times New Roman" w:hAnsi="Times New Roman" w:cs="Times New Roman"/>
        <w:noProof/>
        <w:sz w:val="24"/>
        <w:szCs w:val="24"/>
      </w:rPr>
    </w:sdtEndPr>
    <w:sdtContent>
      <w:p w:rsidR="003D25F1" w:rsidRPr="003D25F1" w:rsidRDefault="003D25F1" w:rsidP="003D25F1">
        <w:pPr>
          <w:pStyle w:val="Header"/>
          <w:spacing w:line="480" w:lineRule="auto"/>
          <w:jc w:val="right"/>
          <w:rPr>
            <w:rFonts w:ascii="Times New Roman" w:hAnsi="Times New Roman" w:cs="Times New Roman"/>
            <w:sz w:val="24"/>
            <w:szCs w:val="24"/>
          </w:rPr>
        </w:pPr>
        <w:r w:rsidRPr="003D25F1">
          <w:rPr>
            <w:rFonts w:ascii="Times New Roman" w:hAnsi="Times New Roman" w:cs="Times New Roman"/>
            <w:sz w:val="24"/>
            <w:szCs w:val="24"/>
          </w:rPr>
          <w:t>OBTAINING STATEMENTS AND CONFESSIONS</w:t>
        </w:r>
        <w:r>
          <w:rPr>
            <w:rFonts w:ascii="Times New Roman" w:hAnsi="Times New Roman" w:cs="Times New Roman"/>
            <w:sz w:val="24"/>
            <w:szCs w:val="24"/>
          </w:rPr>
          <w:tab/>
        </w:r>
        <w:r w:rsidRPr="003D25F1">
          <w:rPr>
            <w:rFonts w:ascii="Times New Roman" w:hAnsi="Times New Roman" w:cs="Times New Roman"/>
            <w:sz w:val="24"/>
            <w:szCs w:val="24"/>
          </w:rPr>
          <w:t xml:space="preserve"> </w:t>
        </w:r>
        <w:r w:rsidRPr="003D25F1">
          <w:rPr>
            <w:rFonts w:ascii="Times New Roman" w:hAnsi="Times New Roman" w:cs="Times New Roman"/>
            <w:sz w:val="24"/>
            <w:szCs w:val="24"/>
          </w:rPr>
          <w:fldChar w:fldCharType="begin"/>
        </w:r>
        <w:r w:rsidRPr="003D25F1">
          <w:rPr>
            <w:rFonts w:ascii="Times New Roman" w:hAnsi="Times New Roman" w:cs="Times New Roman"/>
            <w:sz w:val="24"/>
            <w:szCs w:val="24"/>
          </w:rPr>
          <w:instrText xml:space="preserve"> PAGE   \* MERGEFORMAT </w:instrText>
        </w:r>
        <w:r w:rsidRPr="003D25F1">
          <w:rPr>
            <w:rFonts w:ascii="Times New Roman" w:hAnsi="Times New Roman" w:cs="Times New Roman"/>
            <w:sz w:val="24"/>
            <w:szCs w:val="24"/>
          </w:rPr>
          <w:fldChar w:fldCharType="separate"/>
        </w:r>
        <w:r w:rsidR="00EB7198">
          <w:rPr>
            <w:rFonts w:ascii="Times New Roman" w:hAnsi="Times New Roman" w:cs="Times New Roman"/>
            <w:noProof/>
            <w:sz w:val="24"/>
            <w:szCs w:val="24"/>
          </w:rPr>
          <w:t>11</w:t>
        </w:r>
        <w:r w:rsidRPr="003D25F1">
          <w:rPr>
            <w:rFonts w:ascii="Times New Roman" w:hAnsi="Times New Roman" w:cs="Times New Roman"/>
            <w:noProof/>
            <w:sz w:val="24"/>
            <w:szCs w:val="24"/>
          </w:rPr>
          <w:fldChar w:fldCharType="end"/>
        </w:r>
      </w:p>
    </w:sdtContent>
  </w:sdt>
  <w:p w:rsidR="003D25F1" w:rsidRDefault="003D25F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57AAE" w:rsidRPr="00757AAE" w:rsidRDefault="00757AAE" w:rsidP="00757AAE">
    <w:pPr>
      <w:pStyle w:val="Header"/>
      <w:spacing w:line="480" w:lineRule="auto"/>
      <w:jc w:val="right"/>
      <w:rPr>
        <w:rFonts w:ascii="Times New Roman" w:hAnsi="Times New Roman" w:cs="Times New Roman"/>
        <w:sz w:val="24"/>
        <w:szCs w:val="24"/>
      </w:rPr>
    </w:pPr>
    <w:r w:rsidRPr="00757AAE">
      <w:rPr>
        <w:rFonts w:ascii="Times New Roman" w:hAnsi="Times New Roman" w:cs="Times New Roman"/>
        <w:sz w:val="24"/>
        <w:szCs w:val="24"/>
      </w:rPr>
      <w:t>Running head: OBTAINING STATEMENTS AND CONFESSIONS</w:t>
    </w:r>
    <w:r>
      <w:rPr>
        <w:rFonts w:ascii="Times New Roman" w:hAnsi="Times New Roman" w:cs="Times New Roman"/>
        <w:sz w:val="24"/>
        <w:szCs w:val="24"/>
      </w:rPr>
      <w:tab/>
    </w:r>
    <w:r w:rsidRPr="00757AAE">
      <w:rPr>
        <w:rFonts w:ascii="Times New Roman" w:hAnsi="Times New Roman" w:cs="Times New Roman"/>
        <w:sz w:val="24"/>
        <w:szCs w:val="24"/>
      </w:rPr>
      <w:t xml:space="preserve"> </w:t>
    </w:r>
    <w:sdt>
      <w:sdtPr>
        <w:rPr>
          <w:rFonts w:ascii="Times New Roman" w:hAnsi="Times New Roman" w:cs="Times New Roman"/>
          <w:sz w:val="24"/>
          <w:szCs w:val="24"/>
        </w:rPr>
        <w:id w:val="1870418989"/>
        <w:docPartObj>
          <w:docPartGallery w:val="Page Numbers (Top of Page)"/>
          <w:docPartUnique/>
        </w:docPartObj>
      </w:sdtPr>
      <w:sdtEndPr>
        <w:rPr>
          <w:noProof/>
        </w:rPr>
      </w:sdtEndPr>
      <w:sdtContent>
        <w:r w:rsidRPr="00757AAE">
          <w:rPr>
            <w:rFonts w:ascii="Times New Roman" w:hAnsi="Times New Roman" w:cs="Times New Roman"/>
            <w:sz w:val="24"/>
            <w:szCs w:val="24"/>
          </w:rPr>
          <w:fldChar w:fldCharType="begin"/>
        </w:r>
        <w:r w:rsidRPr="00757AAE">
          <w:rPr>
            <w:rFonts w:ascii="Times New Roman" w:hAnsi="Times New Roman" w:cs="Times New Roman"/>
            <w:sz w:val="24"/>
            <w:szCs w:val="24"/>
          </w:rPr>
          <w:instrText xml:space="preserve"> PAGE   \* MERGEFORMAT </w:instrText>
        </w:r>
        <w:r w:rsidRPr="00757AAE">
          <w:rPr>
            <w:rFonts w:ascii="Times New Roman" w:hAnsi="Times New Roman" w:cs="Times New Roman"/>
            <w:sz w:val="24"/>
            <w:szCs w:val="24"/>
          </w:rPr>
          <w:fldChar w:fldCharType="separate"/>
        </w:r>
        <w:r w:rsidR="0004296F">
          <w:rPr>
            <w:rFonts w:ascii="Times New Roman" w:hAnsi="Times New Roman" w:cs="Times New Roman"/>
            <w:noProof/>
            <w:sz w:val="24"/>
            <w:szCs w:val="24"/>
          </w:rPr>
          <w:t>1</w:t>
        </w:r>
        <w:r w:rsidRPr="00757AAE">
          <w:rPr>
            <w:rFonts w:ascii="Times New Roman" w:hAnsi="Times New Roman" w:cs="Times New Roman"/>
            <w:noProof/>
            <w:sz w:val="24"/>
            <w:szCs w:val="24"/>
          </w:rPr>
          <w:fldChar w:fldCharType="end"/>
        </w:r>
      </w:sdtContent>
    </w:sdt>
  </w:p>
  <w:p w:rsidR="003D25F1" w:rsidRDefault="003D25F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313C8"/>
    <w:rsid w:val="0004296F"/>
    <w:rsid w:val="000545B0"/>
    <w:rsid w:val="00081C6E"/>
    <w:rsid w:val="000B6488"/>
    <w:rsid w:val="000C0A40"/>
    <w:rsid w:val="00111DF1"/>
    <w:rsid w:val="00192B61"/>
    <w:rsid w:val="001A74EA"/>
    <w:rsid w:val="001B34CE"/>
    <w:rsid w:val="001C37D5"/>
    <w:rsid w:val="001D22DB"/>
    <w:rsid w:val="001E68B0"/>
    <w:rsid w:val="00207729"/>
    <w:rsid w:val="00220FC1"/>
    <w:rsid w:val="002246ED"/>
    <w:rsid w:val="00285048"/>
    <w:rsid w:val="002A4ECA"/>
    <w:rsid w:val="002D25DF"/>
    <w:rsid w:val="002F4B74"/>
    <w:rsid w:val="003313C8"/>
    <w:rsid w:val="003479B2"/>
    <w:rsid w:val="003C7321"/>
    <w:rsid w:val="003D25F1"/>
    <w:rsid w:val="003E71CD"/>
    <w:rsid w:val="003F3B6C"/>
    <w:rsid w:val="00414717"/>
    <w:rsid w:val="00453332"/>
    <w:rsid w:val="00484F71"/>
    <w:rsid w:val="004B122E"/>
    <w:rsid w:val="004B2732"/>
    <w:rsid w:val="004E0552"/>
    <w:rsid w:val="00537B32"/>
    <w:rsid w:val="006018A6"/>
    <w:rsid w:val="0061512F"/>
    <w:rsid w:val="00640160"/>
    <w:rsid w:val="00680082"/>
    <w:rsid w:val="006A3DA1"/>
    <w:rsid w:val="006D5C29"/>
    <w:rsid w:val="0070694A"/>
    <w:rsid w:val="00730199"/>
    <w:rsid w:val="00752A8A"/>
    <w:rsid w:val="0075739B"/>
    <w:rsid w:val="00757AAE"/>
    <w:rsid w:val="00782DB8"/>
    <w:rsid w:val="00783355"/>
    <w:rsid w:val="007865DF"/>
    <w:rsid w:val="00791FFE"/>
    <w:rsid w:val="007B21AC"/>
    <w:rsid w:val="007E3C56"/>
    <w:rsid w:val="00805E48"/>
    <w:rsid w:val="008326EF"/>
    <w:rsid w:val="008406A0"/>
    <w:rsid w:val="00845256"/>
    <w:rsid w:val="00847ECB"/>
    <w:rsid w:val="00857DB0"/>
    <w:rsid w:val="00860964"/>
    <w:rsid w:val="0089578B"/>
    <w:rsid w:val="008C561C"/>
    <w:rsid w:val="008D541E"/>
    <w:rsid w:val="008E7355"/>
    <w:rsid w:val="008F3253"/>
    <w:rsid w:val="00932CB2"/>
    <w:rsid w:val="009711F8"/>
    <w:rsid w:val="00977E7D"/>
    <w:rsid w:val="00987FBD"/>
    <w:rsid w:val="009937B7"/>
    <w:rsid w:val="009A745F"/>
    <w:rsid w:val="009C41A8"/>
    <w:rsid w:val="009D3DBC"/>
    <w:rsid w:val="00A67A76"/>
    <w:rsid w:val="00AA2DEA"/>
    <w:rsid w:val="00AA31C0"/>
    <w:rsid w:val="00AA5FD1"/>
    <w:rsid w:val="00AE3333"/>
    <w:rsid w:val="00AF41A5"/>
    <w:rsid w:val="00B05164"/>
    <w:rsid w:val="00B16EBA"/>
    <w:rsid w:val="00B61E42"/>
    <w:rsid w:val="00B745CA"/>
    <w:rsid w:val="00B76BEB"/>
    <w:rsid w:val="00BA239F"/>
    <w:rsid w:val="00BC49CF"/>
    <w:rsid w:val="00BC79E7"/>
    <w:rsid w:val="00BD00AC"/>
    <w:rsid w:val="00BF48E1"/>
    <w:rsid w:val="00BF7E11"/>
    <w:rsid w:val="00C82F09"/>
    <w:rsid w:val="00C840D4"/>
    <w:rsid w:val="00CA2D38"/>
    <w:rsid w:val="00CA7EA0"/>
    <w:rsid w:val="00CB5032"/>
    <w:rsid w:val="00CC1A26"/>
    <w:rsid w:val="00D13C5B"/>
    <w:rsid w:val="00D13E41"/>
    <w:rsid w:val="00D553A1"/>
    <w:rsid w:val="00D66551"/>
    <w:rsid w:val="00D66EBA"/>
    <w:rsid w:val="00D9004F"/>
    <w:rsid w:val="00D916B9"/>
    <w:rsid w:val="00DF7AF0"/>
    <w:rsid w:val="00E10293"/>
    <w:rsid w:val="00E240B0"/>
    <w:rsid w:val="00E30386"/>
    <w:rsid w:val="00E32CD2"/>
    <w:rsid w:val="00E345F2"/>
    <w:rsid w:val="00E45683"/>
    <w:rsid w:val="00E528A4"/>
    <w:rsid w:val="00E53613"/>
    <w:rsid w:val="00E670D0"/>
    <w:rsid w:val="00E67A19"/>
    <w:rsid w:val="00E86695"/>
    <w:rsid w:val="00EB7198"/>
    <w:rsid w:val="00F12DDC"/>
    <w:rsid w:val="00F6652B"/>
    <w:rsid w:val="00F8157E"/>
    <w:rsid w:val="00FD555D"/>
    <w:rsid w:val="00FF031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FB3C948-528E-4C30-BA95-CDCD3F3E6F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207729"/>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D25F1"/>
    <w:pPr>
      <w:tabs>
        <w:tab w:val="center" w:pos="4680"/>
        <w:tab w:val="right" w:pos="9360"/>
      </w:tabs>
      <w:spacing w:after="0" w:line="240" w:lineRule="auto"/>
    </w:pPr>
  </w:style>
  <w:style w:type="character" w:customStyle="1" w:styleId="HeaderChar">
    <w:name w:val="Header Char"/>
    <w:basedOn w:val="DefaultParagraphFont"/>
    <w:link w:val="Header"/>
    <w:uiPriority w:val="99"/>
    <w:rsid w:val="003D25F1"/>
  </w:style>
  <w:style w:type="paragraph" w:styleId="Footer">
    <w:name w:val="footer"/>
    <w:basedOn w:val="Normal"/>
    <w:link w:val="FooterChar"/>
    <w:uiPriority w:val="99"/>
    <w:unhideWhenUsed/>
    <w:rsid w:val="003D25F1"/>
    <w:pPr>
      <w:tabs>
        <w:tab w:val="center" w:pos="4680"/>
        <w:tab w:val="right" w:pos="9360"/>
      </w:tabs>
      <w:spacing w:after="0" w:line="240" w:lineRule="auto"/>
    </w:pPr>
  </w:style>
  <w:style w:type="character" w:customStyle="1" w:styleId="FooterChar">
    <w:name w:val="Footer Char"/>
    <w:basedOn w:val="DefaultParagraphFont"/>
    <w:link w:val="Footer"/>
    <w:uiPriority w:val="99"/>
    <w:rsid w:val="003D25F1"/>
  </w:style>
  <w:style w:type="character" w:styleId="Hyperlink">
    <w:name w:val="Hyperlink"/>
    <w:basedOn w:val="DefaultParagraphFont"/>
    <w:uiPriority w:val="99"/>
    <w:semiHidden/>
    <w:unhideWhenUsed/>
    <w:rsid w:val="00207729"/>
    <w:rPr>
      <w:color w:val="0000FF"/>
      <w:u w:val="single"/>
    </w:rPr>
  </w:style>
  <w:style w:type="character" w:customStyle="1" w:styleId="Heading1Char">
    <w:name w:val="Heading 1 Char"/>
    <w:basedOn w:val="DefaultParagraphFont"/>
    <w:link w:val="Heading1"/>
    <w:uiPriority w:val="9"/>
    <w:rsid w:val="00207729"/>
    <w:rPr>
      <w:rFonts w:ascii="Times New Roman" w:eastAsia="Times New Roman" w:hAnsi="Times New Roman" w:cs="Times New Roman"/>
      <w:b/>
      <w:bCs/>
      <w:kern w:val="36"/>
      <w:sz w:val="48"/>
      <w:szCs w:val="48"/>
    </w:rPr>
  </w:style>
  <w:style w:type="paragraph" w:styleId="NormalWeb">
    <w:name w:val="Normal (Web)"/>
    <w:basedOn w:val="Normal"/>
    <w:uiPriority w:val="99"/>
    <w:semiHidden/>
    <w:unhideWhenUsed/>
    <w:rsid w:val="00207729"/>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69452192">
      <w:bodyDiv w:val="1"/>
      <w:marLeft w:val="0"/>
      <w:marRight w:val="0"/>
      <w:marTop w:val="0"/>
      <w:marBottom w:val="0"/>
      <w:divBdr>
        <w:top w:val="none" w:sz="0" w:space="0" w:color="auto"/>
        <w:left w:val="none" w:sz="0" w:space="0" w:color="auto"/>
        <w:bottom w:val="none" w:sz="0" w:space="0" w:color="auto"/>
        <w:right w:val="none" w:sz="0" w:space="0" w:color="auto"/>
      </w:divBdr>
      <w:divsChild>
        <w:div w:id="1450859537">
          <w:marLeft w:val="0"/>
          <w:marRight w:val="0"/>
          <w:marTop w:val="0"/>
          <w:marBottom w:val="0"/>
          <w:divBdr>
            <w:top w:val="none" w:sz="0" w:space="0" w:color="auto"/>
            <w:left w:val="none" w:sz="0" w:space="0" w:color="auto"/>
            <w:bottom w:val="none" w:sz="0" w:space="0" w:color="auto"/>
            <w:right w:val="none" w:sz="0" w:space="0" w:color="auto"/>
          </w:divBdr>
        </w:div>
      </w:divsChild>
    </w:div>
    <w:div w:id="398945903">
      <w:bodyDiv w:val="1"/>
      <w:marLeft w:val="0"/>
      <w:marRight w:val="0"/>
      <w:marTop w:val="0"/>
      <w:marBottom w:val="0"/>
      <w:divBdr>
        <w:top w:val="none" w:sz="0" w:space="0" w:color="auto"/>
        <w:left w:val="none" w:sz="0" w:space="0" w:color="auto"/>
        <w:bottom w:val="none" w:sz="0" w:space="0" w:color="auto"/>
        <w:right w:val="none" w:sz="0" w:space="0" w:color="auto"/>
      </w:divBdr>
      <w:divsChild>
        <w:div w:id="784084025">
          <w:marLeft w:val="0"/>
          <w:marRight w:val="0"/>
          <w:marTop w:val="0"/>
          <w:marBottom w:val="0"/>
          <w:divBdr>
            <w:top w:val="none" w:sz="0" w:space="0" w:color="auto"/>
            <w:left w:val="none" w:sz="0" w:space="0" w:color="auto"/>
            <w:bottom w:val="none" w:sz="0" w:space="0" w:color="auto"/>
            <w:right w:val="none" w:sz="0" w:space="0" w:color="auto"/>
          </w:divBdr>
        </w:div>
      </w:divsChild>
    </w:div>
    <w:div w:id="477042562">
      <w:bodyDiv w:val="1"/>
      <w:marLeft w:val="0"/>
      <w:marRight w:val="0"/>
      <w:marTop w:val="0"/>
      <w:marBottom w:val="0"/>
      <w:divBdr>
        <w:top w:val="none" w:sz="0" w:space="0" w:color="auto"/>
        <w:left w:val="none" w:sz="0" w:space="0" w:color="auto"/>
        <w:bottom w:val="none" w:sz="0" w:space="0" w:color="auto"/>
        <w:right w:val="none" w:sz="0" w:space="0" w:color="auto"/>
      </w:divBdr>
      <w:divsChild>
        <w:div w:id="828984843">
          <w:marLeft w:val="0"/>
          <w:marRight w:val="0"/>
          <w:marTop w:val="0"/>
          <w:marBottom w:val="0"/>
          <w:divBdr>
            <w:top w:val="none" w:sz="0" w:space="0" w:color="auto"/>
            <w:left w:val="none" w:sz="0" w:space="0" w:color="auto"/>
            <w:bottom w:val="none" w:sz="0" w:space="0" w:color="auto"/>
            <w:right w:val="none" w:sz="0" w:space="0" w:color="auto"/>
          </w:divBdr>
        </w:div>
      </w:divsChild>
    </w:div>
    <w:div w:id="1210797032">
      <w:bodyDiv w:val="1"/>
      <w:marLeft w:val="0"/>
      <w:marRight w:val="0"/>
      <w:marTop w:val="0"/>
      <w:marBottom w:val="0"/>
      <w:divBdr>
        <w:top w:val="none" w:sz="0" w:space="0" w:color="auto"/>
        <w:left w:val="none" w:sz="0" w:space="0" w:color="auto"/>
        <w:bottom w:val="none" w:sz="0" w:space="0" w:color="auto"/>
        <w:right w:val="none" w:sz="0" w:space="0" w:color="auto"/>
      </w:divBdr>
      <w:divsChild>
        <w:div w:id="1417047290">
          <w:marLeft w:val="0"/>
          <w:marRight w:val="0"/>
          <w:marTop w:val="0"/>
          <w:marBottom w:val="0"/>
          <w:divBdr>
            <w:top w:val="none" w:sz="0" w:space="0" w:color="auto"/>
            <w:left w:val="none" w:sz="0" w:space="0" w:color="auto"/>
            <w:bottom w:val="none" w:sz="0" w:space="0" w:color="auto"/>
            <w:right w:val="none" w:sz="0" w:space="0" w:color="auto"/>
          </w:divBdr>
        </w:div>
      </w:divsChild>
    </w:div>
    <w:div w:id="1354192035">
      <w:bodyDiv w:val="1"/>
      <w:marLeft w:val="0"/>
      <w:marRight w:val="0"/>
      <w:marTop w:val="0"/>
      <w:marBottom w:val="0"/>
      <w:divBdr>
        <w:top w:val="none" w:sz="0" w:space="0" w:color="auto"/>
        <w:left w:val="none" w:sz="0" w:space="0" w:color="auto"/>
        <w:bottom w:val="none" w:sz="0" w:space="0" w:color="auto"/>
        <w:right w:val="none" w:sz="0" w:space="0" w:color="auto"/>
      </w:divBdr>
      <w:divsChild>
        <w:div w:id="1208300840">
          <w:marLeft w:val="0"/>
          <w:marRight w:val="0"/>
          <w:marTop w:val="0"/>
          <w:marBottom w:val="0"/>
          <w:divBdr>
            <w:top w:val="none" w:sz="0" w:space="0" w:color="auto"/>
            <w:left w:val="none" w:sz="0" w:space="0" w:color="auto"/>
            <w:bottom w:val="none" w:sz="0" w:space="0" w:color="auto"/>
            <w:right w:val="none" w:sz="0" w:space="0" w:color="auto"/>
          </w:divBdr>
        </w:div>
      </w:divsChild>
    </w:div>
    <w:div w:id="1759592817">
      <w:bodyDiv w:val="1"/>
      <w:marLeft w:val="0"/>
      <w:marRight w:val="0"/>
      <w:marTop w:val="0"/>
      <w:marBottom w:val="0"/>
      <w:divBdr>
        <w:top w:val="none" w:sz="0" w:space="0" w:color="auto"/>
        <w:left w:val="none" w:sz="0" w:space="0" w:color="auto"/>
        <w:bottom w:val="none" w:sz="0" w:space="0" w:color="auto"/>
        <w:right w:val="none" w:sz="0" w:space="0" w:color="auto"/>
      </w:divBdr>
    </w:div>
    <w:div w:id="1832062963">
      <w:bodyDiv w:val="1"/>
      <w:marLeft w:val="0"/>
      <w:marRight w:val="0"/>
      <w:marTop w:val="0"/>
      <w:marBottom w:val="0"/>
      <w:divBdr>
        <w:top w:val="none" w:sz="0" w:space="0" w:color="auto"/>
        <w:left w:val="none" w:sz="0" w:space="0" w:color="auto"/>
        <w:bottom w:val="none" w:sz="0" w:space="0" w:color="auto"/>
        <w:right w:val="none" w:sz="0" w:space="0" w:color="auto"/>
      </w:divBdr>
      <w:divsChild>
        <w:div w:id="70421276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dx.doi.org/10.2139/ssrn.2715196"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1542</TotalTime>
  <Pages>11</Pages>
  <Words>2774</Words>
  <Characters>15813</Characters>
  <Application>Microsoft Office Word</Application>
  <DocSecurity>0</DocSecurity>
  <Lines>131</Lines>
  <Paragraphs>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18550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107</cp:revision>
  <dcterms:created xsi:type="dcterms:W3CDTF">2018-11-07T19:15:00Z</dcterms:created>
  <dcterms:modified xsi:type="dcterms:W3CDTF">2018-11-11T14:49:00Z</dcterms:modified>
</cp:coreProperties>
</file>